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51" w:rsidRDefault="00AC6DC7" w:rsidP="00B30451">
      <w:pPr>
        <w:widowControl/>
        <w:jc w:val="center"/>
        <w:rPr>
          <w:b/>
          <w:bCs/>
          <w:color w:val="548DD4" w:themeColor="text2" w:themeTint="99"/>
          <w:sz w:val="36"/>
          <w:szCs w:val="36"/>
        </w:rPr>
      </w:pPr>
      <w:r w:rsidRPr="009904FF">
        <w:rPr>
          <w:b/>
          <w:bCs/>
          <w:color w:val="548DD4" w:themeColor="text2" w:themeTint="99"/>
          <w:sz w:val="36"/>
          <w:szCs w:val="36"/>
        </w:rPr>
        <w:t>EDWARD BYRNE MEMORIAL</w:t>
      </w:r>
    </w:p>
    <w:p w:rsidR="00AC6DC7" w:rsidRPr="009904FF" w:rsidRDefault="00AC6DC7" w:rsidP="00B30451">
      <w:pPr>
        <w:widowControl/>
        <w:jc w:val="center"/>
        <w:rPr>
          <w:b/>
          <w:bCs/>
          <w:color w:val="548DD4" w:themeColor="text2" w:themeTint="99"/>
          <w:sz w:val="36"/>
          <w:szCs w:val="36"/>
        </w:rPr>
      </w:pPr>
      <w:r w:rsidRPr="009904FF">
        <w:rPr>
          <w:b/>
          <w:bCs/>
          <w:color w:val="548DD4" w:themeColor="text2" w:themeTint="99"/>
          <w:sz w:val="36"/>
          <w:szCs w:val="36"/>
        </w:rPr>
        <w:t>Justice Assistance Grant (JAG)</w:t>
      </w:r>
    </w:p>
    <w:p w:rsidR="00AC6DC7" w:rsidRPr="009904FF" w:rsidRDefault="00AC6DC7" w:rsidP="00B30451">
      <w:pPr>
        <w:framePr w:w="1612" w:h="1742" w:hRule="exact" w:hSpace="240" w:vSpace="240" w:wrap="auto" w:vAnchor="page" w:hAnchor="page" w:x="46" w:y="286"/>
        <w:pBdr>
          <w:top w:val="single" w:sz="6" w:space="0" w:color="FFFFFF"/>
          <w:left w:val="single" w:sz="6" w:space="0" w:color="FFFFFF"/>
          <w:bottom w:val="single" w:sz="6" w:space="0" w:color="FFFFFF"/>
          <w:right w:val="single" w:sz="6" w:space="0" w:color="FFFFFF"/>
        </w:pBdr>
        <w:shd w:val="solid" w:color="FFFFFF" w:fill="FFFFFF"/>
        <w:jc w:val="center"/>
        <w:rPr>
          <w:b/>
          <w:color w:val="548DD4" w:themeColor="text2" w:themeTint="99"/>
          <w:sz w:val="36"/>
          <w:szCs w:val="36"/>
        </w:rPr>
      </w:pPr>
    </w:p>
    <w:p w:rsidR="00AC6DC7" w:rsidRPr="009904FF" w:rsidRDefault="00AC6DC7" w:rsidP="00B30451">
      <w:pPr>
        <w:widowControl/>
        <w:jc w:val="center"/>
        <w:rPr>
          <w:b/>
          <w:bCs/>
          <w:color w:val="548DD4" w:themeColor="text2" w:themeTint="99"/>
          <w:sz w:val="36"/>
          <w:szCs w:val="36"/>
        </w:rPr>
      </w:pPr>
      <w:r>
        <w:rPr>
          <w:b/>
          <w:bCs/>
          <w:color w:val="548DD4" w:themeColor="text2" w:themeTint="99"/>
          <w:sz w:val="36"/>
          <w:szCs w:val="36"/>
        </w:rPr>
        <w:t>Drug Courts</w:t>
      </w:r>
      <w:r w:rsidRPr="009904FF">
        <w:rPr>
          <w:b/>
          <w:bCs/>
          <w:color w:val="548DD4" w:themeColor="text2" w:themeTint="99"/>
          <w:sz w:val="36"/>
          <w:szCs w:val="36"/>
        </w:rPr>
        <w:t xml:space="preserve"> Application Solicitation</w:t>
      </w:r>
    </w:p>
    <w:p w:rsidR="00AC6DC7" w:rsidRPr="009904FF" w:rsidRDefault="00AC6DC7" w:rsidP="00B30451">
      <w:pPr>
        <w:widowControl/>
        <w:jc w:val="center"/>
        <w:rPr>
          <w:b/>
          <w:bCs/>
          <w:color w:val="548DD4" w:themeColor="text2" w:themeTint="99"/>
          <w:sz w:val="36"/>
          <w:szCs w:val="36"/>
        </w:rPr>
      </w:pPr>
      <w:r w:rsidRPr="009904FF">
        <w:rPr>
          <w:b/>
          <w:bCs/>
          <w:color w:val="548DD4" w:themeColor="text2" w:themeTint="99"/>
          <w:sz w:val="36"/>
          <w:szCs w:val="36"/>
        </w:rPr>
        <w:t>201</w:t>
      </w:r>
      <w:r w:rsidR="00AB4DE8">
        <w:rPr>
          <w:b/>
          <w:bCs/>
          <w:color w:val="548DD4" w:themeColor="text2" w:themeTint="99"/>
          <w:sz w:val="36"/>
          <w:szCs w:val="36"/>
        </w:rPr>
        <w:t>9</w:t>
      </w:r>
      <w:r w:rsidRPr="009904FF">
        <w:rPr>
          <w:b/>
          <w:bCs/>
          <w:color w:val="548DD4" w:themeColor="text2" w:themeTint="99"/>
          <w:sz w:val="36"/>
          <w:szCs w:val="36"/>
        </w:rPr>
        <w:t>-MU-BX-0</w:t>
      </w:r>
      <w:r w:rsidR="00AB4DE8">
        <w:rPr>
          <w:b/>
          <w:bCs/>
          <w:color w:val="548DD4" w:themeColor="text2" w:themeTint="99"/>
          <w:sz w:val="36"/>
          <w:szCs w:val="36"/>
        </w:rPr>
        <w:t>045</w:t>
      </w:r>
    </w:p>
    <w:p w:rsidR="00AC6DC7" w:rsidRDefault="00AC6DC7" w:rsidP="00B30451">
      <w:pPr>
        <w:widowControl/>
        <w:jc w:val="center"/>
        <w:rPr>
          <w:b/>
          <w:bCs/>
          <w:sz w:val="28"/>
          <w:szCs w:val="28"/>
        </w:rPr>
      </w:pPr>
      <w:r w:rsidRPr="009904FF">
        <w:rPr>
          <w:b/>
          <w:bCs/>
          <w:color w:val="548DD4" w:themeColor="text2" w:themeTint="99"/>
          <w:sz w:val="36"/>
          <w:szCs w:val="36"/>
        </w:rPr>
        <w:t>CFDA 16.738</w:t>
      </w:r>
    </w:p>
    <w:p w:rsidR="00682924" w:rsidRDefault="00682924">
      <w:pPr>
        <w:widowControl/>
        <w:jc w:val="both"/>
        <w:rPr>
          <w:b/>
          <w:bCs/>
          <w:u w:val="single"/>
        </w:rPr>
      </w:pPr>
    </w:p>
    <w:p w:rsidR="00B30451" w:rsidRPr="00D7540E" w:rsidRDefault="00B30451">
      <w:pPr>
        <w:widowControl/>
        <w:jc w:val="both"/>
        <w:rPr>
          <w:b/>
          <w:bCs/>
          <w:u w:val="single"/>
        </w:rPr>
      </w:pPr>
    </w:p>
    <w:p w:rsidR="00682924" w:rsidRPr="00D7540E" w:rsidRDefault="00682924">
      <w:pPr>
        <w:widowControl/>
        <w:jc w:val="both"/>
      </w:pPr>
      <w:r w:rsidRPr="00D7540E">
        <w:rPr>
          <w:b/>
          <w:bCs/>
          <w:u w:val="single"/>
        </w:rPr>
        <w:t>Background</w:t>
      </w:r>
    </w:p>
    <w:p w:rsidR="00682924" w:rsidRPr="00D7540E" w:rsidRDefault="00682924">
      <w:pPr>
        <w:widowControl/>
        <w:jc w:val="both"/>
      </w:pPr>
    </w:p>
    <w:p w:rsidR="00682924" w:rsidRPr="00D7540E" w:rsidRDefault="00682924" w:rsidP="00A21D82">
      <w:pPr>
        <w:widowControl/>
        <w:numPr>
          <w:ilvl w:val="0"/>
          <w:numId w:val="10"/>
        </w:numPr>
        <w:autoSpaceDE/>
        <w:autoSpaceDN/>
        <w:adjustRightInd/>
        <w:spacing w:before="100" w:beforeAutospacing="1" w:after="100" w:afterAutospacing="1"/>
        <w:jc w:val="both"/>
      </w:pPr>
      <w:r w:rsidRPr="00D7540E">
        <w:t xml:space="preserve">The Division of Public Safety Planning has limited funds available to </w:t>
      </w:r>
      <w:r w:rsidR="005F386B" w:rsidRPr="00D7540E">
        <w:t xml:space="preserve">support </w:t>
      </w:r>
      <w:r w:rsidRPr="00D7540E">
        <w:t xml:space="preserve">area </w:t>
      </w:r>
      <w:r w:rsidR="00475D06" w:rsidRPr="00D7540E">
        <w:t>Drug Court programs</w:t>
      </w:r>
      <w:r w:rsidRPr="00D7540E">
        <w:t xml:space="preserve"> from the U. S. Department of Justice (DOJ</w:t>
      </w:r>
      <w:r w:rsidR="00580BF4" w:rsidRPr="00D7540E">
        <w:t>)</w:t>
      </w:r>
      <w:r w:rsidR="00C518EE" w:rsidRPr="00D7540E">
        <w:t xml:space="preserve">. </w:t>
      </w:r>
      <w:r w:rsidRPr="00D7540E">
        <w:t xml:space="preserve"> An </w:t>
      </w:r>
      <w:r w:rsidRPr="00AB4DE8">
        <w:rPr>
          <w:b/>
        </w:rPr>
        <w:t>application packet</w:t>
      </w:r>
      <w:r w:rsidRPr="00D7540E">
        <w:t xml:space="preserve"> is </w:t>
      </w:r>
      <w:r w:rsidR="00A118E0">
        <w:t>available online</w:t>
      </w:r>
      <w:r w:rsidR="00475D06" w:rsidRPr="00D7540E">
        <w:t xml:space="preserve">, including a </w:t>
      </w:r>
      <w:r w:rsidR="00EA7816" w:rsidRPr="00AB4DE8">
        <w:rPr>
          <w:b/>
        </w:rPr>
        <w:t>data sheet</w:t>
      </w:r>
      <w:r w:rsidR="00EA7816" w:rsidRPr="00D7540E">
        <w:t xml:space="preserve"> and </w:t>
      </w:r>
      <w:r w:rsidR="00EA7816" w:rsidRPr="00AB4DE8">
        <w:rPr>
          <w:b/>
        </w:rPr>
        <w:t>checklist</w:t>
      </w:r>
      <w:r w:rsidR="00EA7816" w:rsidRPr="00D7540E">
        <w:t>.</w:t>
      </w:r>
      <w:r w:rsidRPr="00D7540E">
        <w:t xml:space="preserve">   All applicants must complete and return the application</w:t>
      </w:r>
      <w:r w:rsidR="00EB1A93" w:rsidRPr="00D7540E">
        <w:t>, data sheet</w:t>
      </w:r>
      <w:r w:rsidR="00AC6DC7">
        <w:t xml:space="preserve">, </w:t>
      </w:r>
      <w:hyperlink r:id="rId8" w:tgtFrame="_blank" w:tooltip="PDF opens in a new window" w:history="1">
        <w:r w:rsidR="00AB4DE8" w:rsidRPr="00AB4DE8">
          <w:t>FY 2019 Certifications</w:t>
        </w:r>
      </w:hyperlink>
      <w:r w:rsidR="00AB4DE8" w:rsidRPr="00AB4DE8">
        <w:t xml:space="preserve"> and Assurances by the Chief Executive</w:t>
      </w:r>
      <w:r w:rsidR="00AB4DE8">
        <w:t>,</w:t>
      </w:r>
      <w:r w:rsidR="00AC6DC7">
        <w:t xml:space="preserve"> SAM registration</w:t>
      </w:r>
      <w:r w:rsidR="00EB1A93" w:rsidRPr="00D7540E">
        <w:t xml:space="preserve"> and checklist</w:t>
      </w:r>
      <w:r w:rsidRPr="00D7540E">
        <w:t xml:space="preserve"> no later than </w:t>
      </w:r>
      <w:r w:rsidR="00AB4DE8" w:rsidRPr="00AB4DE8">
        <w:rPr>
          <w:b/>
          <w:highlight w:val="yellow"/>
          <w:u w:val="single"/>
        </w:rPr>
        <w:t>Monday</w:t>
      </w:r>
      <w:r w:rsidR="00BB69B4" w:rsidRPr="00AB4DE8">
        <w:rPr>
          <w:b/>
          <w:bCs/>
          <w:highlight w:val="yellow"/>
          <w:u w:val="single"/>
        </w:rPr>
        <w:t xml:space="preserve">, </w:t>
      </w:r>
      <w:r w:rsidR="00AB4DE8" w:rsidRPr="00AB4DE8">
        <w:rPr>
          <w:b/>
          <w:bCs/>
          <w:highlight w:val="yellow"/>
          <w:u w:val="single"/>
        </w:rPr>
        <w:t>June</w:t>
      </w:r>
      <w:r w:rsidR="0052737D" w:rsidRPr="00AB4DE8">
        <w:rPr>
          <w:b/>
          <w:bCs/>
          <w:highlight w:val="yellow"/>
          <w:u w:val="single"/>
        </w:rPr>
        <w:t xml:space="preserve"> </w:t>
      </w:r>
      <w:r w:rsidR="0023778E" w:rsidRPr="00AB4DE8">
        <w:rPr>
          <w:b/>
          <w:bCs/>
          <w:highlight w:val="yellow"/>
          <w:u w:val="single"/>
        </w:rPr>
        <w:t>1</w:t>
      </w:r>
      <w:r w:rsidR="00BB69B4" w:rsidRPr="00AB4DE8">
        <w:rPr>
          <w:b/>
          <w:bCs/>
          <w:highlight w:val="yellow"/>
          <w:u w:val="single"/>
        </w:rPr>
        <w:t>, 20</w:t>
      </w:r>
      <w:r w:rsidR="00AB4DE8" w:rsidRPr="00AB4DE8">
        <w:rPr>
          <w:b/>
          <w:bCs/>
          <w:highlight w:val="yellow"/>
          <w:u w:val="single"/>
        </w:rPr>
        <w:t>20</w:t>
      </w:r>
      <w:r w:rsidRPr="00AB4DE8">
        <w:rPr>
          <w:b/>
          <w:bCs/>
          <w:highlight w:val="yellow"/>
          <w:u w:val="single"/>
        </w:rPr>
        <w:t>.</w:t>
      </w:r>
    </w:p>
    <w:p w:rsidR="00682924" w:rsidRPr="00D7540E" w:rsidRDefault="00682924">
      <w:pPr>
        <w:widowControl/>
        <w:jc w:val="both"/>
      </w:pPr>
    </w:p>
    <w:p w:rsidR="00682924" w:rsidRPr="00D7540E" w:rsidRDefault="00682924">
      <w:pPr>
        <w:widowControl/>
        <w:jc w:val="both"/>
        <w:rPr>
          <w:b/>
          <w:color w:val="FF0000"/>
        </w:rPr>
      </w:pPr>
      <w:r w:rsidRPr="00D7540E">
        <w:t xml:space="preserve">Applications must address the following in an abstract: </w:t>
      </w:r>
      <w:r w:rsidRPr="00D7540E">
        <w:rPr>
          <w:b/>
        </w:rPr>
        <w:t>(1)</w:t>
      </w:r>
      <w:r w:rsidRPr="00D7540E">
        <w:t xml:space="preserve"> Describe and document the problems facing the </w:t>
      </w:r>
      <w:r w:rsidR="00EA7816" w:rsidRPr="00D7540E">
        <w:t>drug court programs</w:t>
      </w:r>
      <w:r w:rsidRPr="00D7540E">
        <w:t xml:space="preserve"> and the need for assistance under this program; </w:t>
      </w:r>
      <w:r w:rsidRPr="00D7540E">
        <w:rPr>
          <w:b/>
        </w:rPr>
        <w:t>(2)</w:t>
      </w:r>
      <w:r w:rsidRPr="00D7540E">
        <w:t xml:space="preserve"> </w:t>
      </w:r>
      <w:r w:rsidR="00EB1A93" w:rsidRPr="00D7540E">
        <w:t>Address cases involving substance abusing parents and children who are involved in the court system</w:t>
      </w:r>
      <w:r w:rsidRPr="00D7540E">
        <w:t>;</w:t>
      </w:r>
      <w:r w:rsidR="00EB1A93" w:rsidRPr="00D7540E">
        <w:t xml:space="preserve"> </w:t>
      </w:r>
      <w:r w:rsidRPr="00D7540E">
        <w:rPr>
          <w:b/>
        </w:rPr>
        <w:t>(3)</w:t>
      </w:r>
      <w:r w:rsidRPr="00D7540E">
        <w:t xml:space="preserve"> </w:t>
      </w:r>
      <w:r w:rsidR="00B30451">
        <w:t xml:space="preserve">Address </w:t>
      </w:r>
      <w:r w:rsidR="00EB1A93" w:rsidRPr="00D7540E">
        <w:t>cases involving parents who are in danger of losing custody of their children due to the parents inability to deal with their alcohol and drug addictions</w:t>
      </w:r>
      <w:r w:rsidRPr="00D7540E">
        <w:t xml:space="preserve">; and </w:t>
      </w:r>
      <w:r w:rsidRPr="00D7540E">
        <w:rPr>
          <w:b/>
        </w:rPr>
        <w:t>(4)</w:t>
      </w:r>
      <w:r w:rsidRPr="00D7540E">
        <w:t xml:space="preserve"> </w:t>
      </w:r>
      <w:r w:rsidR="00EB1A93" w:rsidRPr="00D7540E">
        <w:t xml:space="preserve">how the court will infuse substance abuse treatment and counseling that will benefit persons enrolled in the </w:t>
      </w:r>
      <w:r w:rsidR="00004A94" w:rsidRPr="00D7540E">
        <w:t xml:space="preserve">youth and </w:t>
      </w:r>
      <w:r w:rsidR="00EB1A93" w:rsidRPr="00D7540E">
        <w:t>family</w:t>
      </w:r>
      <w:r w:rsidR="00004A94" w:rsidRPr="00D7540E">
        <w:t xml:space="preserve"> </w:t>
      </w:r>
      <w:r w:rsidR="00EB1A93" w:rsidRPr="00D7540E">
        <w:t>drug court program</w:t>
      </w:r>
      <w:r w:rsidR="00004A94" w:rsidRPr="00D7540E">
        <w:t>s</w:t>
      </w:r>
      <w:r w:rsidR="00A10B2F" w:rsidRPr="00D7540E">
        <w:t xml:space="preserve"> </w:t>
      </w:r>
      <w:r w:rsidR="00EB1A93" w:rsidRPr="00D7540E">
        <w:t xml:space="preserve">.  </w:t>
      </w:r>
      <w:r w:rsidR="00A10B2F" w:rsidRPr="00D7540E">
        <w:rPr>
          <w:b/>
          <w:color w:val="FF0000"/>
        </w:rPr>
        <w:t>Applications that are incomplete will not be considered for funding.</w:t>
      </w:r>
    </w:p>
    <w:p w:rsidR="00682924" w:rsidRPr="00D7540E" w:rsidRDefault="00682924">
      <w:pPr>
        <w:widowControl/>
        <w:jc w:val="both"/>
      </w:pPr>
    </w:p>
    <w:p w:rsidR="00682924" w:rsidRPr="00D7540E" w:rsidRDefault="00682924">
      <w:pPr>
        <w:widowControl/>
        <w:jc w:val="both"/>
      </w:pPr>
      <w:r w:rsidRPr="00D7540E">
        <w:rPr>
          <w:b/>
          <w:bCs/>
          <w:u w:val="single"/>
        </w:rPr>
        <w:t>Program Purpose Areas</w:t>
      </w:r>
    </w:p>
    <w:p w:rsidR="00682924" w:rsidRPr="00D7540E" w:rsidRDefault="00682924">
      <w:pPr>
        <w:widowControl/>
        <w:jc w:val="both"/>
      </w:pPr>
    </w:p>
    <w:p w:rsidR="00682924" w:rsidRPr="00D7540E" w:rsidRDefault="00682924">
      <w:pPr>
        <w:widowControl/>
        <w:jc w:val="both"/>
      </w:pPr>
      <w:r w:rsidRPr="00D7540E">
        <w:t>The purpose of this fund</w:t>
      </w:r>
      <w:r w:rsidR="005F386B" w:rsidRPr="00D7540E">
        <w:t>ing</w:t>
      </w:r>
      <w:r w:rsidRPr="00D7540E">
        <w:t xml:space="preserve"> is to provide </w:t>
      </w:r>
      <w:r w:rsidR="00635D49" w:rsidRPr="00D7540E">
        <w:t>drug court programs</w:t>
      </w:r>
      <w:r w:rsidRPr="00D7540E">
        <w:t xml:space="preserve"> with the funds to underwrite projects to assist </w:t>
      </w:r>
      <w:r w:rsidR="00635D49" w:rsidRPr="00D7540E">
        <w:t>certified drug court programs</w:t>
      </w:r>
      <w:r w:rsidRPr="00D7540E">
        <w:t xml:space="preserve"> with the most pressing needs of the</w:t>
      </w:r>
      <w:r w:rsidR="00CF07B8" w:rsidRPr="00D7540E">
        <w:t>ir</w:t>
      </w:r>
      <w:r w:rsidRPr="00D7540E">
        <w:t xml:space="preserve"> agency.  These funds can be </w:t>
      </w:r>
      <w:r w:rsidR="00BB69B4" w:rsidRPr="00D7540E">
        <w:t>used</w:t>
      </w:r>
      <w:r w:rsidRPr="00D7540E">
        <w:t xml:space="preserve"> for a wide variety of purposes including </w:t>
      </w:r>
      <w:r w:rsidR="00635D49" w:rsidRPr="00D7540E">
        <w:t xml:space="preserve">salaries, fringe benefits, training, </w:t>
      </w:r>
      <w:r w:rsidRPr="00D7540E">
        <w:t xml:space="preserve">equipment, </w:t>
      </w:r>
      <w:r w:rsidR="00635D49" w:rsidRPr="00D7540E">
        <w:t>travel</w:t>
      </w:r>
      <w:r w:rsidRPr="00D7540E">
        <w:t xml:space="preserve">, </w:t>
      </w:r>
      <w:r w:rsidR="00C73F97" w:rsidRPr="00D7540E">
        <w:t xml:space="preserve">and </w:t>
      </w:r>
      <w:r w:rsidRPr="00D7540E">
        <w:t xml:space="preserve">supplies. </w:t>
      </w:r>
      <w:r w:rsidR="00BB69B4" w:rsidRPr="00D7540E">
        <w:t>Funding is based on the amount of state allocation available for this funding category.</w:t>
      </w:r>
      <w:r w:rsidRPr="00D7540E">
        <w:t xml:space="preserve"> </w:t>
      </w:r>
    </w:p>
    <w:p w:rsidR="005F386B" w:rsidRPr="00D7540E" w:rsidRDefault="005F386B">
      <w:pPr>
        <w:widowControl/>
        <w:jc w:val="both"/>
      </w:pPr>
    </w:p>
    <w:p w:rsidR="00682924" w:rsidRPr="00D7540E" w:rsidRDefault="00682924">
      <w:pPr>
        <w:widowControl/>
        <w:jc w:val="both"/>
      </w:pPr>
      <w:r w:rsidRPr="00D7540E">
        <w:rPr>
          <w:b/>
          <w:bCs/>
          <w:u w:val="single"/>
        </w:rPr>
        <w:t>Targeted Areas</w:t>
      </w:r>
      <w:r w:rsidRPr="00D7540E">
        <w:t xml:space="preserve"> </w:t>
      </w:r>
    </w:p>
    <w:p w:rsidR="00682924" w:rsidRPr="00D7540E" w:rsidRDefault="00682924">
      <w:pPr>
        <w:widowControl/>
        <w:jc w:val="both"/>
      </w:pPr>
    </w:p>
    <w:p w:rsidR="00682924" w:rsidRPr="00D7540E" w:rsidRDefault="00682924">
      <w:pPr>
        <w:widowControl/>
        <w:jc w:val="both"/>
      </w:pPr>
      <w:r w:rsidRPr="00D7540E">
        <w:t>Funds can be used in the following targeted areas:</w:t>
      </w:r>
    </w:p>
    <w:p w:rsidR="00682924" w:rsidRPr="00D7540E" w:rsidRDefault="00682924">
      <w:pPr>
        <w:widowControl/>
        <w:jc w:val="both"/>
      </w:pPr>
    </w:p>
    <w:p w:rsidR="00682924" w:rsidRPr="00D7540E" w:rsidRDefault="00635D49" w:rsidP="00D7540E">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Drug Court</w:t>
      </w:r>
      <w:r w:rsidR="00682924" w:rsidRPr="00D7540E">
        <w:t xml:space="preserve"> </w:t>
      </w:r>
      <w:r w:rsidR="00BB69B4" w:rsidRPr="00D7540E">
        <w:t xml:space="preserve">Personnel </w:t>
      </w:r>
      <w:r w:rsidR="00682924" w:rsidRPr="00D7540E">
        <w:t>Support</w:t>
      </w:r>
    </w:p>
    <w:p w:rsidR="005F386B" w:rsidRPr="00D7540E" w:rsidRDefault="00635D49" w:rsidP="00D7540E">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Training</w:t>
      </w:r>
    </w:p>
    <w:p w:rsidR="001468A7" w:rsidRPr="00D7540E" w:rsidRDefault="00580BF4" w:rsidP="00D7540E">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Operating Expense</w:t>
      </w:r>
      <w:r w:rsidR="00635D49" w:rsidRPr="00D7540E">
        <w:t xml:space="preserve"> (Drug Testing kits)</w:t>
      </w:r>
    </w:p>
    <w:p w:rsidR="001468A7" w:rsidRPr="00D7540E" w:rsidRDefault="001468A7" w:rsidP="00580BF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Treatment</w:t>
      </w:r>
    </w:p>
    <w:p w:rsidR="00E07EC6" w:rsidRPr="00D7540E" w:rsidRDefault="00E07EC6">
      <w:pPr>
        <w:widowControl/>
        <w:autoSpaceDE/>
        <w:autoSpaceDN/>
        <w:adjustRightInd/>
        <w:rPr>
          <w:b/>
          <w:u w:val="single"/>
        </w:rPr>
      </w:pPr>
    </w:p>
    <w:p w:rsidR="0023778E" w:rsidRDefault="0023778E">
      <w:pPr>
        <w:widowControl/>
        <w:autoSpaceDE/>
        <w:autoSpaceDN/>
        <w:adjustRightInd/>
        <w:rPr>
          <w:b/>
          <w:u w:val="single"/>
        </w:rPr>
      </w:pPr>
    </w:p>
    <w:p w:rsidR="0023778E" w:rsidRDefault="0023778E">
      <w:pPr>
        <w:widowControl/>
        <w:autoSpaceDE/>
        <w:autoSpaceDN/>
        <w:adjustRightInd/>
        <w:rPr>
          <w:b/>
          <w:u w:val="single"/>
        </w:rPr>
      </w:pPr>
    </w:p>
    <w:p w:rsidR="0023778E" w:rsidRDefault="0023778E">
      <w:pPr>
        <w:widowControl/>
        <w:autoSpaceDE/>
        <w:autoSpaceDN/>
        <w:adjustRightInd/>
        <w:rPr>
          <w:b/>
          <w:u w:val="single"/>
        </w:rPr>
      </w:pPr>
    </w:p>
    <w:p w:rsidR="001F319C" w:rsidRDefault="001F319C">
      <w:pPr>
        <w:widowControl/>
        <w:autoSpaceDE/>
        <w:autoSpaceDN/>
        <w:adjustRightInd/>
        <w:rPr>
          <w:b/>
          <w:u w:val="single"/>
        </w:rPr>
      </w:pPr>
    </w:p>
    <w:p w:rsidR="001F319C" w:rsidRDefault="001F319C">
      <w:pPr>
        <w:widowControl/>
        <w:autoSpaceDE/>
        <w:autoSpaceDN/>
        <w:adjustRightInd/>
        <w:rPr>
          <w:b/>
          <w:u w:val="single"/>
        </w:rPr>
      </w:pPr>
    </w:p>
    <w:p w:rsidR="007E7718" w:rsidRPr="00D7540E" w:rsidRDefault="007E7718">
      <w:pPr>
        <w:widowControl/>
        <w:autoSpaceDE/>
        <w:autoSpaceDN/>
        <w:adjustRightInd/>
        <w:rPr>
          <w:b/>
          <w:u w:val="single"/>
        </w:rPr>
      </w:pPr>
      <w:r w:rsidRPr="00D7540E">
        <w:rPr>
          <w:b/>
          <w:u w:val="single"/>
        </w:rPr>
        <w:t>Ten (10) Key Components of Drug Courts</w:t>
      </w:r>
    </w:p>
    <w:p w:rsidR="007E7718" w:rsidRPr="00D7540E" w:rsidRDefault="007E7718">
      <w:pPr>
        <w:widowControl/>
        <w:autoSpaceDE/>
        <w:autoSpaceDN/>
        <w:adjustRightInd/>
        <w:rPr>
          <w:b/>
          <w:u w:val="single"/>
        </w:rPr>
      </w:pPr>
    </w:p>
    <w:p w:rsidR="007E7718" w:rsidRPr="00D7540E" w:rsidRDefault="007E7718">
      <w:pPr>
        <w:widowControl/>
        <w:autoSpaceDE/>
        <w:autoSpaceDN/>
        <w:adjustRightInd/>
        <w:rPr>
          <w:b/>
          <w:i/>
          <w:color w:val="FF0000"/>
          <w:u w:val="single"/>
        </w:rPr>
      </w:pPr>
      <w:r w:rsidRPr="00D7540E">
        <w:t xml:space="preserve">In the formation stage of drug courts, the Office of Justice Drug Courts Program developed ten key components to which each drug court follows to be eligible for federal funding. The ten key components provide an outline of drug court philosophy and requirements. </w:t>
      </w:r>
      <w:r w:rsidRPr="00D7540E">
        <w:rPr>
          <w:b/>
          <w:i/>
          <w:color w:val="FF0000"/>
          <w:u w:val="single"/>
        </w:rPr>
        <w:t>The following components must be addressed within the application submitted to the Division of Public Safety Planning:</w:t>
      </w:r>
    </w:p>
    <w:p w:rsidR="007E7718" w:rsidRPr="00D7540E" w:rsidRDefault="007E7718">
      <w:pPr>
        <w:widowControl/>
        <w:autoSpaceDE/>
        <w:autoSpaceDN/>
        <w:adjustRightInd/>
      </w:pPr>
    </w:p>
    <w:p w:rsidR="007E7718" w:rsidRDefault="007E7718" w:rsidP="007E7718">
      <w:pPr>
        <w:rPr>
          <w:b/>
          <w:bCs/>
        </w:rPr>
      </w:pPr>
      <w:r w:rsidRPr="00D7540E">
        <w:rPr>
          <w:b/>
          <w:bCs/>
        </w:rPr>
        <w:t>1. Drug Court integrates alcohol and other drug treatment services with justice</w:t>
      </w:r>
      <w:r w:rsidR="00E07EC6" w:rsidRPr="00D7540E">
        <w:rPr>
          <w:b/>
          <w:bCs/>
        </w:rPr>
        <w:t xml:space="preserve"> </w:t>
      </w:r>
      <w:r w:rsidRPr="00D7540E">
        <w:rPr>
          <w:b/>
          <w:bCs/>
        </w:rPr>
        <w:t>system case processing.</w:t>
      </w:r>
    </w:p>
    <w:p w:rsidR="00D7540E" w:rsidRPr="00D7540E" w:rsidRDefault="00D7540E" w:rsidP="007E7718">
      <w:pPr>
        <w:rPr>
          <w:b/>
          <w:bCs/>
        </w:rPr>
      </w:pPr>
    </w:p>
    <w:p w:rsidR="007E7718" w:rsidRPr="00D7540E" w:rsidRDefault="007E7718" w:rsidP="00FF056A">
      <w:pPr>
        <w:jc w:val="both"/>
      </w:pPr>
      <w:r w:rsidRPr="00D7540E">
        <w:t>Drug court promotes recovery through a coordinated response to offenders dependent</w:t>
      </w:r>
    </w:p>
    <w:p w:rsidR="007E7718" w:rsidRPr="00D7540E" w:rsidRDefault="007E7718" w:rsidP="00FF056A">
      <w:pPr>
        <w:jc w:val="both"/>
      </w:pPr>
      <w:r w:rsidRPr="00D7540E">
        <w:t>on alcohol and other drugs. Realization of these goals requires a team approach</w:t>
      </w:r>
    </w:p>
    <w:p w:rsidR="007E7718" w:rsidRPr="00D7540E" w:rsidRDefault="007E7718" w:rsidP="00FF056A">
      <w:pPr>
        <w:jc w:val="both"/>
      </w:pPr>
      <w:r w:rsidRPr="00D7540E">
        <w:t>including cooperation and collaboration among judges, prosecutors, defense counsel,</w:t>
      </w:r>
    </w:p>
    <w:p w:rsidR="007E7718" w:rsidRPr="00D7540E" w:rsidRDefault="007E7718" w:rsidP="00FF056A">
      <w:pPr>
        <w:jc w:val="both"/>
      </w:pPr>
      <w:r w:rsidRPr="00D7540E">
        <w:t>probation authorities, law enforcement, treatment providers and other community</w:t>
      </w:r>
    </w:p>
    <w:p w:rsidR="007E7718" w:rsidRPr="00D7540E" w:rsidRDefault="007E7718" w:rsidP="00FF056A">
      <w:pPr>
        <w:jc w:val="both"/>
      </w:pPr>
      <w:r w:rsidRPr="00D7540E">
        <w:t>agencies.</w:t>
      </w:r>
      <w:bookmarkStart w:id="0" w:name="_GoBack"/>
      <w:bookmarkEnd w:id="0"/>
    </w:p>
    <w:p w:rsidR="007E7718" w:rsidRPr="00D7540E" w:rsidRDefault="007E7718" w:rsidP="007E7718"/>
    <w:p w:rsidR="007E7718" w:rsidRPr="00D7540E" w:rsidRDefault="007E7718" w:rsidP="007E7718">
      <w:pPr>
        <w:rPr>
          <w:b/>
          <w:bCs/>
        </w:rPr>
      </w:pPr>
      <w:r w:rsidRPr="00D7540E">
        <w:rPr>
          <w:b/>
          <w:bCs/>
        </w:rPr>
        <w:t>2. Using a non-adversarial approach, prosecution and defense counsel promote</w:t>
      </w:r>
      <w:r w:rsidR="00E07EC6" w:rsidRPr="00D7540E">
        <w:rPr>
          <w:b/>
          <w:bCs/>
        </w:rPr>
        <w:t xml:space="preserve"> </w:t>
      </w:r>
      <w:r w:rsidRPr="00D7540E">
        <w:rPr>
          <w:b/>
          <w:bCs/>
        </w:rPr>
        <w:t>public safety while protecting participants’ due process rights.</w:t>
      </w:r>
    </w:p>
    <w:p w:rsidR="00D7540E" w:rsidRDefault="00D7540E" w:rsidP="007E7718"/>
    <w:p w:rsidR="007E7718" w:rsidRPr="00D7540E" w:rsidRDefault="007E7718" w:rsidP="00996379">
      <w:r w:rsidRPr="00D7540E">
        <w:t>To facilitate an individual’s progress in treatment, the prosecutor and defense counsel</w:t>
      </w:r>
    </w:p>
    <w:p w:rsidR="007E7718" w:rsidRPr="00D7540E" w:rsidRDefault="007E7718" w:rsidP="00996379">
      <w:r w:rsidRPr="00D7540E">
        <w:t>must shed their traditional adversarial courtroom relationship and work together as a</w:t>
      </w:r>
    </w:p>
    <w:p w:rsidR="007E7718" w:rsidRPr="00D7540E" w:rsidRDefault="007E7718" w:rsidP="00996379">
      <w:r w:rsidRPr="00D7540E">
        <w:t>team. Once a defendant is accepted into drug court, the team’s focus is on the</w:t>
      </w:r>
    </w:p>
    <w:p w:rsidR="007E7718" w:rsidRPr="00D7540E" w:rsidRDefault="007E7718" w:rsidP="00996379">
      <w:r w:rsidRPr="00D7540E">
        <w:t>participant’s recovery and law-abiding behavior, not on the merits of the underlying</w:t>
      </w:r>
    </w:p>
    <w:p w:rsidR="007E7718" w:rsidRPr="00D7540E" w:rsidRDefault="007E7718" w:rsidP="00996379">
      <w:r w:rsidRPr="00D7540E">
        <w:t>criminal offense.</w:t>
      </w:r>
    </w:p>
    <w:p w:rsidR="007E7718" w:rsidRPr="00D7540E" w:rsidRDefault="007E7718" w:rsidP="007E7718"/>
    <w:p w:rsidR="007E7718" w:rsidRPr="00D7540E" w:rsidRDefault="007E7718" w:rsidP="007E7718">
      <w:pPr>
        <w:rPr>
          <w:b/>
          <w:bCs/>
        </w:rPr>
      </w:pPr>
      <w:r w:rsidRPr="00D7540E">
        <w:rPr>
          <w:b/>
          <w:bCs/>
        </w:rPr>
        <w:t>3. Eligible participants are identified early and promptly placed in drug court.</w:t>
      </w:r>
    </w:p>
    <w:p w:rsidR="00D7540E" w:rsidRDefault="00D7540E" w:rsidP="007E7718"/>
    <w:p w:rsidR="007E7718" w:rsidRPr="00D7540E" w:rsidRDefault="007E7718" w:rsidP="00FF056A">
      <w:pPr>
        <w:jc w:val="both"/>
      </w:pPr>
      <w:r w:rsidRPr="00D7540E">
        <w:t>An arrest can be a traumatic event in a person’s life. It creates an immediate crisis</w:t>
      </w:r>
    </w:p>
    <w:p w:rsidR="007E7718" w:rsidRPr="00D7540E" w:rsidRDefault="007E7718" w:rsidP="00FF056A">
      <w:pPr>
        <w:jc w:val="both"/>
      </w:pPr>
      <w:r w:rsidRPr="00D7540E">
        <w:t>and can force substance-abusing behavior into the open, making denial difficult. The</w:t>
      </w:r>
    </w:p>
    <w:p w:rsidR="007E7718" w:rsidRPr="00D7540E" w:rsidRDefault="007E7718" w:rsidP="00FF056A">
      <w:pPr>
        <w:jc w:val="both"/>
      </w:pPr>
      <w:r w:rsidRPr="00D7540E">
        <w:t>period immediately after an arrest provides a critical window of opportunity for</w:t>
      </w:r>
    </w:p>
    <w:p w:rsidR="007E7718" w:rsidRPr="00D7540E" w:rsidRDefault="007E7718" w:rsidP="00FF056A">
      <w:pPr>
        <w:jc w:val="both"/>
      </w:pPr>
      <w:r w:rsidRPr="00D7540E">
        <w:t>intervention and introduces the value of substance abuse treatment. Judicial action,</w:t>
      </w:r>
    </w:p>
    <w:p w:rsidR="007E7718" w:rsidRPr="00D7540E" w:rsidRDefault="007E7718" w:rsidP="00FF056A">
      <w:pPr>
        <w:jc w:val="both"/>
      </w:pPr>
      <w:r w:rsidRPr="00D7540E">
        <w:t>taken immediately after the arrest, capitalizes on the crisis nature of both the arrest</w:t>
      </w:r>
    </w:p>
    <w:p w:rsidR="007E7718" w:rsidRPr="00D7540E" w:rsidRDefault="007E7718" w:rsidP="00FF056A">
      <w:pPr>
        <w:jc w:val="both"/>
      </w:pPr>
      <w:r w:rsidRPr="00D7540E">
        <w:t>and the booking process.</w:t>
      </w:r>
    </w:p>
    <w:p w:rsidR="007E7718" w:rsidRPr="00D7540E" w:rsidRDefault="007E7718" w:rsidP="007E7718"/>
    <w:p w:rsidR="007E7718" w:rsidRPr="00D7540E" w:rsidRDefault="007E7718" w:rsidP="007E7718">
      <w:pPr>
        <w:rPr>
          <w:b/>
          <w:bCs/>
        </w:rPr>
      </w:pPr>
      <w:r w:rsidRPr="00D7540E">
        <w:rPr>
          <w:b/>
          <w:bCs/>
        </w:rPr>
        <w:t>4. Drug court provides access to a continuum of alcohol, drug and other related</w:t>
      </w:r>
      <w:r w:rsidR="00E07EC6" w:rsidRPr="00D7540E">
        <w:rPr>
          <w:b/>
          <w:bCs/>
        </w:rPr>
        <w:t xml:space="preserve"> </w:t>
      </w:r>
      <w:r w:rsidRPr="00D7540E">
        <w:rPr>
          <w:b/>
          <w:bCs/>
        </w:rPr>
        <w:t>treatment and rehabilitation services.</w:t>
      </w:r>
    </w:p>
    <w:p w:rsidR="00D7540E" w:rsidRDefault="00D7540E" w:rsidP="007E7718"/>
    <w:p w:rsidR="007E7718" w:rsidRPr="00D7540E" w:rsidRDefault="007E7718" w:rsidP="00996379">
      <w:r w:rsidRPr="00D7540E">
        <w:t>In drug court, the process begins in the courtroom and continues throughout the</w:t>
      </w:r>
    </w:p>
    <w:p w:rsidR="007E7718" w:rsidRPr="00D7540E" w:rsidRDefault="007E7718" w:rsidP="00996379">
      <w:r w:rsidRPr="00D7540E">
        <w:t>participant’s drug court involvement. While primarily concerned with criminal</w:t>
      </w:r>
    </w:p>
    <w:p w:rsidR="007E7718" w:rsidRPr="00D7540E" w:rsidRDefault="007E7718" w:rsidP="00996379">
      <w:r w:rsidRPr="00D7540E">
        <w:t>activity and substance abuse, the drug court team also needs to address other issues</w:t>
      </w:r>
    </w:p>
    <w:p w:rsidR="007E7718" w:rsidRPr="00D7540E" w:rsidRDefault="007E7718" w:rsidP="00996379">
      <w:r w:rsidRPr="00D7540E">
        <w:t>such as mental illness, medical problems, homelessness, educational deficits, and</w:t>
      </w:r>
    </w:p>
    <w:p w:rsidR="007E7718" w:rsidRPr="00D7540E" w:rsidRDefault="007E7718" w:rsidP="00996379">
      <w:r w:rsidRPr="00D7540E">
        <w:t>unemployment. If these issues are ignored, they could impact the participant’s</w:t>
      </w:r>
    </w:p>
    <w:p w:rsidR="007E7718" w:rsidRPr="00D7540E" w:rsidRDefault="007E7718" w:rsidP="00996379">
      <w:r w:rsidRPr="00D7540E">
        <w:t>program compliance and success in treatment. Research has demonstrated that</w:t>
      </w:r>
    </w:p>
    <w:p w:rsidR="007E7718" w:rsidRPr="00D7540E" w:rsidRDefault="007E7718" w:rsidP="00996379">
      <w:r w:rsidRPr="00D7540E">
        <w:t>coerced treatment is effective.</w:t>
      </w:r>
    </w:p>
    <w:p w:rsidR="007E7718" w:rsidRPr="00D7540E" w:rsidRDefault="007E7718" w:rsidP="007E7718"/>
    <w:p w:rsidR="007E7718" w:rsidRPr="00D7540E" w:rsidRDefault="007E7718" w:rsidP="007E7718">
      <w:pPr>
        <w:rPr>
          <w:b/>
          <w:bCs/>
        </w:rPr>
      </w:pPr>
      <w:r w:rsidRPr="00D7540E">
        <w:rPr>
          <w:b/>
          <w:bCs/>
        </w:rPr>
        <w:t>5. Abstinence is monitored by frequent alcohol and other drug testing, including</w:t>
      </w:r>
      <w:r w:rsidR="00E07EC6" w:rsidRPr="00D7540E">
        <w:rPr>
          <w:b/>
          <w:bCs/>
        </w:rPr>
        <w:t xml:space="preserve"> </w:t>
      </w:r>
      <w:r w:rsidRPr="00D7540E">
        <w:rPr>
          <w:b/>
          <w:bCs/>
        </w:rPr>
        <w:t>evenings and weekends.</w:t>
      </w:r>
    </w:p>
    <w:p w:rsidR="00D7540E" w:rsidRDefault="00D7540E" w:rsidP="007E7718"/>
    <w:p w:rsidR="007E7718" w:rsidRPr="00D7540E" w:rsidRDefault="007E7718" w:rsidP="00996379">
      <w:r w:rsidRPr="00D7540E">
        <w:t>Frequent and random court-ordered drug testing is an essential tool for the participant</w:t>
      </w:r>
    </w:p>
    <w:p w:rsidR="007E7718" w:rsidRPr="00D7540E" w:rsidRDefault="007E7718" w:rsidP="00996379">
      <w:r w:rsidRPr="00D7540E">
        <w:t>to remain clean and sober. An accurate testing system is the most objective and</w:t>
      </w:r>
    </w:p>
    <w:p w:rsidR="007E7718" w:rsidRPr="00D7540E" w:rsidRDefault="007E7718" w:rsidP="00996379">
      <w:r w:rsidRPr="00D7540E">
        <w:t>efficient way to establish a framework for accountability and to gauge each</w:t>
      </w:r>
    </w:p>
    <w:p w:rsidR="007E7718" w:rsidRPr="00D7540E" w:rsidRDefault="007E7718" w:rsidP="00996379">
      <w:r w:rsidRPr="00D7540E">
        <w:t>participant’s progress. Drug testing makes the participant an active and involved part</w:t>
      </w:r>
    </w:p>
    <w:p w:rsidR="007E7718" w:rsidRPr="00D7540E" w:rsidRDefault="007E7718" w:rsidP="00996379">
      <w:r w:rsidRPr="00D7540E">
        <w:t>of the treatment process rather than a passive recipient of services.</w:t>
      </w:r>
    </w:p>
    <w:p w:rsidR="007E7718" w:rsidRPr="00D7540E" w:rsidRDefault="007E7718" w:rsidP="007E7718"/>
    <w:p w:rsidR="007E7718" w:rsidRPr="00D7540E" w:rsidRDefault="007E7718" w:rsidP="007E7718">
      <w:pPr>
        <w:rPr>
          <w:b/>
          <w:bCs/>
        </w:rPr>
      </w:pPr>
      <w:r w:rsidRPr="00D7540E">
        <w:rPr>
          <w:b/>
          <w:bCs/>
        </w:rPr>
        <w:t xml:space="preserve">6. A coordinated strategy governs drug </w:t>
      </w:r>
      <w:r w:rsidR="00656C3E">
        <w:rPr>
          <w:b/>
          <w:bCs/>
        </w:rPr>
        <w:t>court responses to participants’</w:t>
      </w:r>
      <w:r w:rsidRPr="00D7540E">
        <w:rPr>
          <w:b/>
          <w:bCs/>
        </w:rPr>
        <w:t xml:space="preserve"> compliance.</w:t>
      </w:r>
    </w:p>
    <w:p w:rsidR="00D7540E" w:rsidRDefault="00D7540E" w:rsidP="007E7718"/>
    <w:p w:rsidR="007E7718" w:rsidRPr="00D7540E" w:rsidRDefault="007E7718" w:rsidP="00996379">
      <w:r w:rsidRPr="00D7540E">
        <w:t>Many participants exhibit a pattern of positive urine tests within the first months</w:t>
      </w:r>
    </w:p>
    <w:p w:rsidR="007E7718" w:rsidRPr="00D7540E" w:rsidRDefault="007E7718" w:rsidP="00996379">
      <w:r w:rsidRPr="00D7540E">
        <w:t>following admission. When this occurs, immediate sanctions are applied. Because</w:t>
      </w:r>
    </w:p>
    <w:p w:rsidR="007E7718" w:rsidRPr="00D7540E" w:rsidRDefault="007E7718" w:rsidP="00996379">
      <w:r w:rsidRPr="00D7540E">
        <w:t>addiction takes a long time to develop and many factors contribute to chemical</w:t>
      </w:r>
    </w:p>
    <w:p w:rsidR="007E7718" w:rsidRPr="00D7540E" w:rsidRDefault="007E7718" w:rsidP="00996379">
      <w:r w:rsidRPr="00D7540E">
        <w:t>dependency, it is rare that an individual stops using when treatment begins. Although</w:t>
      </w:r>
    </w:p>
    <w:p w:rsidR="007E7718" w:rsidRPr="00D7540E" w:rsidRDefault="007E7718" w:rsidP="00996379">
      <w:r w:rsidRPr="00D7540E">
        <w:t>drug court professionals recognize that relapse may be part of recovery, continued use</w:t>
      </w:r>
    </w:p>
    <w:p w:rsidR="007E7718" w:rsidRPr="00D7540E" w:rsidRDefault="007E7718" w:rsidP="00996379">
      <w:r w:rsidRPr="00D7540E">
        <w:t>is not condoned and a coordinated strategy, including a continuum of responses to</w:t>
      </w:r>
    </w:p>
    <w:p w:rsidR="007E7718" w:rsidRPr="00D7540E" w:rsidRDefault="007E7718" w:rsidP="00996379">
      <w:r w:rsidRPr="00D7540E">
        <w:t>each relapse or other issues of non-compliance is essential. Drug court</w:t>
      </w:r>
      <w:r w:rsidR="000C242C">
        <w:t>s</w:t>
      </w:r>
      <w:r w:rsidRPr="00D7540E">
        <w:t xml:space="preserve"> must reward</w:t>
      </w:r>
    </w:p>
    <w:p w:rsidR="007E7718" w:rsidRPr="00D7540E" w:rsidRDefault="007E7718" w:rsidP="00996379">
      <w:r w:rsidRPr="00D7540E">
        <w:t>cooperation as well as response to non-compliance. Small rewards, such as praise</w:t>
      </w:r>
    </w:p>
    <w:p w:rsidR="007E7718" w:rsidRPr="00D7540E" w:rsidRDefault="007E7718" w:rsidP="00996379">
      <w:r w:rsidRPr="00D7540E">
        <w:t>from the Drug Court Commissioner, increased privileges, and lessened restrictions,</w:t>
      </w:r>
    </w:p>
    <w:p w:rsidR="007E7718" w:rsidRPr="00D7540E" w:rsidRDefault="007E7718" w:rsidP="00996379">
      <w:r w:rsidRPr="00D7540E">
        <w:t>have an important effect on a participant’s sense of purpose and accomplishment.</w:t>
      </w:r>
    </w:p>
    <w:p w:rsidR="007E7718" w:rsidRPr="00D7540E" w:rsidRDefault="007E7718" w:rsidP="007E7718"/>
    <w:p w:rsidR="007E7718" w:rsidRPr="00D7540E" w:rsidRDefault="007E7718" w:rsidP="007E7718">
      <w:pPr>
        <w:rPr>
          <w:b/>
          <w:bCs/>
        </w:rPr>
      </w:pPr>
      <w:r w:rsidRPr="00D7540E">
        <w:rPr>
          <w:b/>
          <w:bCs/>
        </w:rPr>
        <w:t>7. Ongoing judicial interaction with each drug court participant is essential.</w:t>
      </w:r>
    </w:p>
    <w:p w:rsidR="00D7540E" w:rsidRDefault="00D7540E" w:rsidP="007E7718"/>
    <w:p w:rsidR="007E7718" w:rsidRPr="00D7540E" w:rsidRDefault="007E7718" w:rsidP="00996379">
      <w:r w:rsidRPr="00D7540E">
        <w:t>The Drug Court Commissioner is a member of the drug court team. Drug Court</w:t>
      </w:r>
    </w:p>
    <w:p w:rsidR="007E7718" w:rsidRPr="00D7540E" w:rsidRDefault="007E7718" w:rsidP="00996379">
      <w:r w:rsidRPr="00D7540E">
        <w:t>Commissioners conduct drug cour</w:t>
      </w:r>
      <w:r w:rsidR="00D7540E">
        <w:t>t sessions and staffing, monitor and review</w:t>
      </w:r>
      <w:r w:rsidRPr="00D7540E">
        <w:t xml:space="preserve"> the</w:t>
      </w:r>
    </w:p>
    <w:p w:rsidR="007E7718" w:rsidRPr="00D7540E" w:rsidRDefault="001A0926" w:rsidP="00996379">
      <w:r>
        <w:t>p</w:t>
      </w:r>
      <w:r w:rsidR="00D7540E">
        <w:t>articipant</w:t>
      </w:r>
      <w:r>
        <w:t>’s</w:t>
      </w:r>
      <w:r w:rsidR="007E7718" w:rsidRPr="00D7540E">
        <w:t xml:space="preserve"> progress in drug court, encourage and reward appropriate behavior,</w:t>
      </w:r>
    </w:p>
    <w:p w:rsidR="007E7718" w:rsidRPr="00D7540E" w:rsidRDefault="007E7718" w:rsidP="00996379">
      <w:r w:rsidRPr="00D7540E">
        <w:t>and discourage</w:t>
      </w:r>
      <w:r w:rsidR="001A0926">
        <w:t xml:space="preserve"> and sanction</w:t>
      </w:r>
      <w:r w:rsidRPr="00D7540E">
        <w:t xml:space="preserve"> inappropriate behavior. Ongoing judicial supervision</w:t>
      </w:r>
    </w:p>
    <w:p w:rsidR="007E7718" w:rsidRPr="00D7540E" w:rsidRDefault="007E7718" w:rsidP="00996379">
      <w:r w:rsidRPr="00D7540E">
        <w:t>communicates to participants, often for the first time, that someone in authority cares</w:t>
      </w:r>
    </w:p>
    <w:p w:rsidR="007E7718" w:rsidRPr="00D7540E" w:rsidRDefault="007E7718" w:rsidP="00996379">
      <w:r w:rsidRPr="00D7540E">
        <w:t>about their progress and program success.</w:t>
      </w:r>
    </w:p>
    <w:p w:rsidR="007E7718" w:rsidRPr="00D7540E" w:rsidRDefault="007E7718" w:rsidP="007E7718"/>
    <w:p w:rsidR="007E7718" w:rsidRPr="00D7540E" w:rsidRDefault="007E7718" w:rsidP="007E7718">
      <w:pPr>
        <w:rPr>
          <w:b/>
          <w:bCs/>
        </w:rPr>
      </w:pPr>
      <w:r w:rsidRPr="00D7540E">
        <w:rPr>
          <w:b/>
          <w:bCs/>
        </w:rPr>
        <w:t>8. Monitoring and evaluation measure the achievement of drug court goals and</w:t>
      </w:r>
      <w:r w:rsidR="00E07EC6" w:rsidRPr="00D7540E">
        <w:rPr>
          <w:b/>
          <w:bCs/>
        </w:rPr>
        <w:t xml:space="preserve"> </w:t>
      </w:r>
      <w:r w:rsidRPr="00D7540E">
        <w:rPr>
          <w:b/>
          <w:bCs/>
        </w:rPr>
        <w:t>gauge effectiveness.</w:t>
      </w:r>
    </w:p>
    <w:p w:rsidR="00D7540E" w:rsidRDefault="00D7540E" w:rsidP="007E7718"/>
    <w:p w:rsidR="007E7718" w:rsidRPr="00D7540E" w:rsidRDefault="007E7718" w:rsidP="00996379">
      <w:r w:rsidRPr="00D7540E">
        <w:t>Coordinated management, monitoring, and evaluation systems are fundamental to the</w:t>
      </w:r>
    </w:p>
    <w:p w:rsidR="007E7718" w:rsidRPr="00D7540E" w:rsidRDefault="007E7718" w:rsidP="00996379">
      <w:r w:rsidRPr="00D7540E">
        <w:t>effective operation of a drug court. Drug courts strive to demonstrate tangible</w:t>
      </w:r>
    </w:p>
    <w:p w:rsidR="007E7718" w:rsidRPr="00D7540E" w:rsidRDefault="007E7718" w:rsidP="00996379">
      <w:r w:rsidRPr="00D7540E">
        <w:t>outcomes and cost-effectiveness; thus there are systems in place to monitor daily</w:t>
      </w:r>
    </w:p>
    <w:p w:rsidR="007E7718" w:rsidRPr="00D7540E" w:rsidRDefault="007E7718" w:rsidP="00996379">
      <w:r w:rsidRPr="00D7540E">
        <w:t>activities, evaluating the quality and effectiveness of provided service, and producing</w:t>
      </w:r>
    </w:p>
    <w:p w:rsidR="007E7718" w:rsidRPr="00D7540E" w:rsidRDefault="007E7718" w:rsidP="00996379">
      <w:r w:rsidRPr="00D7540E">
        <w:t>longitudinal evaluations.</w:t>
      </w:r>
    </w:p>
    <w:p w:rsidR="007E7718" w:rsidRPr="00D7540E" w:rsidRDefault="007E7718" w:rsidP="007E7718"/>
    <w:p w:rsidR="007E7718" w:rsidRPr="00D7540E" w:rsidRDefault="007E7718" w:rsidP="007E7718">
      <w:pPr>
        <w:rPr>
          <w:b/>
          <w:bCs/>
        </w:rPr>
      </w:pPr>
      <w:r w:rsidRPr="00D7540E">
        <w:rPr>
          <w:b/>
          <w:bCs/>
        </w:rPr>
        <w:t>9. Continuing interdisciplinary education promotes effective drug court planning,</w:t>
      </w:r>
      <w:r w:rsidR="00E07EC6" w:rsidRPr="00D7540E">
        <w:rPr>
          <w:b/>
          <w:bCs/>
        </w:rPr>
        <w:t xml:space="preserve"> </w:t>
      </w:r>
      <w:r w:rsidRPr="00D7540E">
        <w:rPr>
          <w:b/>
          <w:bCs/>
        </w:rPr>
        <w:t>implementation, and operations.</w:t>
      </w:r>
    </w:p>
    <w:p w:rsidR="00D7540E" w:rsidRDefault="00D7540E" w:rsidP="007E7718"/>
    <w:p w:rsidR="007E7718" w:rsidRPr="00D7540E" w:rsidRDefault="007E7718" w:rsidP="00996379">
      <w:r w:rsidRPr="00D7540E">
        <w:t>Interdisciplinary education exposes criminal justice professionals to treatment issues</w:t>
      </w:r>
    </w:p>
    <w:p w:rsidR="007E7718" w:rsidRPr="00D7540E" w:rsidRDefault="007E7718" w:rsidP="00996379">
      <w:r w:rsidRPr="00D7540E">
        <w:t>and treatment professionals to criminal justice issues. It also develops a shared</w:t>
      </w:r>
    </w:p>
    <w:p w:rsidR="007E7718" w:rsidRPr="00D7540E" w:rsidRDefault="007E7718" w:rsidP="00996379">
      <w:r w:rsidRPr="00D7540E">
        <w:t>understanding of the values, goals and operating procedures of both the criminal</w:t>
      </w:r>
    </w:p>
    <w:p w:rsidR="007E7718" w:rsidRPr="00D7540E" w:rsidRDefault="007E7718" w:rsidP="00996379">
      <w:r w:rsidRPr="00D7540E">
        <w:t>justice and treatment components.</w:t>
      </w:r>
    </w:p>
    <w:p w:rsidR="007E7718" w:rsidRPr="00D7540E" w:rsidRDefault="007E7718" w:rsidP="007E7718"/>
    <w:p w:rsidR="007E7718" w:rsidRPr="00D7540E" w:rsidRDefault="007E7718" w:rsidP="007E7718">
      <w:pPr>
        <w:rPr>
          <w:b/>
          <w:bCs/>
        </w:rPr>
      </w:pPr>
      <w:r w:rsidRPr="00D7540E">
        <w:rPr>
          <w:b/>
          <w:bCs/>
        </w:rPr>
        <w:t>10. Forging partnerships among drug court</w:t>
      </w:r>
      <w:r w:rsidR="00656C3E">
        <w:rPr>
          <w:b/>
          <w:bCs/>
        </w:rPr>
        <w:t>s</w:t>
      </w:r>
      <w:r w:rsidRPr="00D7540E">
        <w:rPr>
          <w:b/>
          <w:bCs/>
        </w:rPr>
        <w:t>, public agencies, and community-based</w:t>
      </w:r>
      <w:r w:rsidR="00E07EC6" w:rsidRPr="00D7540E">
        <w:rPr>
          <w:b/>
          <w:bCs/>
        </w:rPr>
        <w:t xml:space="preserve"> </w:t>
      </w:r>
      <w:r w:rsidRPr="00D7540E">
        <w:rPr>
          <w:b/>
          <w:bCs/>
        </w:rPr>
        <w:t xml:space="preserve">organizations generate local support and enhance drug court </w:t>
      </w:r>
      <w:r w:rsidR="00E07EC6" w:rsidRPr="00D7540E">
        <w:rPr>
          <w:b/>
          <w:bCs/>
        </w:rPr>
        <w:t>e</w:t>
      </w:r>
      <w:r w:rsidRPr="00D7540E">
        <w:rPr>
          <w:b/>
          <w:bCs/>
        </w:rPr>
        <w:t>ffectiveness.</w:t>
      </w:r>
    </w:p>
    <w:p w:rsidR="00D7540E" w:rsidRDefault="00D7540E" w:rsidP="007E7718"/>
    <w:p w:rsidR="007E7718" w:rsidRPr="00D7540E" w:rsidRDefault="007E7718" w:rsidP="00996379">
      <w:r w:rsidRPr="00D7540E">
        <w:t xml:space="preserve">Because of its unique position in the criminal justice system, </w:t>
      </w:r>
      <w:r w:rsidR="00A762FE">
        <w:t>D</w:t>
      </w:r>
      <w:r w:rsidRPr="00D7540E">
        <w:t xml:space="preserve">rug </w:t>
      </w:r>
      <w:r w:rsidR="00A762FE">
        <w:t>C</w:t>
      </w:r>
      <w:r w:rsidRPr="00D7540E">
        <w:t>ourt is well suited</w:t>
      </w:r>
    </w:p>
    <w:p w:rsidR="007E7718" w:rsidRPr="00D7540E" w:rsidRDefault="007E7718" w:rsidP="00996379">
      <w:r w:rsidRPr="00D7540E">
        <w:t>to develop coalitions among community-based service organizations, public criminal</w:t>
      </w:r>
    </w:p>
    <w:p w:rsidR="007E7718" w:rsidRPr="00D7540E" w:rsidRDefault="007E7718" w:rsidP="00996379">
      <w:r w:rsidRPr="00D7540E">
        <w:t xml:space="preserve">justice agencies and treatment delivery systems. Drug </w:t>
      </w:r>
      <w:r w:rsidR="00A762FE">
        <w:t>C</w:t>
      </w:r>
      <w:r w:rsidRPr="00D7540E">
        <w:t>ourt is a partnership among</w:t>
      </w:r>
    </w:p>
    <w:p w:rsidR="007E7718" w:rsidRPr="00D7540E" w:rsidRDefault="007E7718" w:rsidP="00996379">
      <w:r w:rsidRPr="00D7540E">
        <w:t>organizations dedicated to a coordinated and cooperative approach to the drug</w:t>
      </w:r>
    </w:p>
    <w:p w:rsidR="007E7718" w:rsidRPr="00D7540E" w:rsidRDefault="007E7718" w:rsidP="00996379">
      <w:r w:rsidRPr="00D7540E">
        <w:t>addicted offender.</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pPr>
        <w:framePr w:w="8353" w:h="810" w:hRule="exact" w:hSpace="240" w:vSpace="240" w:wrap="auto" w:vAnchor="text" w:hAnchor="margin" w:x="557" w:y="1"/>
        <w:pBdr>
          <w:top w:val="single" w:sz="6" w:space="0" w:color="000000"/>
          <w:left w:val="single" w:sz="6" w:space="0" w:color="000000"/>
          <w:bottom w:val="single" w:sz="6" w:space="0" w:color="000000"/>
          <w:right w:val="single" w:sz="6" w:space="0" w:color="000000"/>
        </w:pBdr>
        <w:shd w:val="solid" w:color="000000"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sidRPr="00D7540E">
        <w:rPr>
          <w:b/>
          <w:bCs/>
        </w:rPr>
        <w:t>SPECIAL GRANT CONDITIONS</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rPr>
          <w:b/>
          <w:bCs/>
          <w:u w:val="single"/>
        </w:rPr>
        <w:t>Availability of Funds and Application Deadline</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rsidR="00682924" w:rsidRPr="00D7540E" w:rsidRDefault="00682924" w:rsidP="00FF05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D7540E">
        <w:t>Funds are available after completing the attached application</w:t>
      </w:r>
      <w:r w:rsidR="00E70545" w:rsidRPr="00D7540E">
        <w:t xml:space="preserve"> with instruction</w:t>
      </w:r>
      <w:r w:rsidRPr="00D7540E">
        <w:t xml:space="preserve">, returning it to DPSP and receiving an executed grant award document.  All applicants are expected to complete and return the application no later than </w:t>
      </w:r>
      <w:r w:rsidR="00AB4DE8" w:rsidRPr="00AB4DE8">
        <w:rPr>
          <w:b/>
          <w:highlight w:val="yellow"/>
          <w:u w:val="single"/>
        </w:rPr>
        <w:t>Monday</w:t>
      </w:r>
      <w:r w:rsidR="00536A81" w:rsidRPr="00AB4DE8">
        <w:rPr>
          <w:b/>
          <w:bCs/>
          <w:highlight w:val="yellow"/>
          <w:u w:val="single"/>
        </w:rPr>
        <w:t xml:space="preserve">, </w:t>
      </w:r>
      <w:r w:rsidR="00AB4DE8" w:rsidRPr="00AB4DE8">
        <w:rPr>
          <w:b/>
          <w:bCs/>
          <w:highlight w:val="yellow"/>
          <w:u w:val="single"/>
        </w:rPr>
        <w:t>June</w:t>
      </w:r>
      <w:r w:rsidR="00536A81" w:rsidRPr="00AB4DE8">
        <w:rPr>
          <w:b/>
          <w:bCs/>
          <w:highlight w:val="yellow"/>
          <w:u w:val="single"/>
        </w:rPr>
        <w:t xml:space="preserve"> </w:t>
      </w:r>
      <w:r w:rsidR="0047560F" w:rsidRPr="00AB4DE8">
        <w:rPr>
          <w:b/>
          <w:bCs/>
          <w:highlight w:val="yellow"/>
          <w:u w:val="single"/>
        </w:rPr>
        <w:t>1</w:t>
      </w:r>
      <w:r w:rsidR="00536A81" w:rsidRPr="00AB4DE8">
        <w:rPr>
          <w:b/>
          <w:bCs/>
          <w:highlight w:val="yellow"/>
          <w:u w:val="single"/>
        </w:rPr>
        <w:t>, 20</w:t>
      </w:r>
      <w:r w:rsidR="00AB4DE8" w:rsidRPr="00AB4DE8">
        <w:rPr>
          <w:b/>
          <w:bCs/>
          <w:highlight w:val="yellow"/>
          <w:u w:val="single"/>
        </w:rPr>
        <w:t>20</w:t>
      </w:r>
      <w:r w:rsidR="00C772B6" w:rsidRPr="008A1FEA">
        <w:rPr>
          <w:b/>
          <w:bCs/>
        </w:rPr>
        <w:t>.</w:t>
      </w:r>
    </w:p>
    <w:p w:rsidR="005F386B" w:rsidRPr="00D7540E" w:rsidRDefault="005F38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07EC6" w:rsidRPr="00D7540E" w:rsidRDefault="00E0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r w:rsidRPr="00D7540E">
        <w:rPr>
          <w:b/>
          <w:u w:val="single"/>
        </w:rPr>
        <w:t>Grant Period</w:t>
      </w:r>
    </w:p>
    <w:p w:rsidR="00E07EC6" w:rsidRPr="00D7540E" w:rsidRDefault="00E0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Default="00682924" w:rsidP="009963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rPr>
      </w:pPr>
      <w:r w:rsidRPr="00D7540E">
        <w:t xml:space="preserve">The </w:t>
      </w:r>
      <w:r w:rsidR="005F386B" w:rsidRPr="00D7540E">
        <w:t>grant</w:t>
      </w:r>
      <w:r w:rsidRPr="00D7540E">
        <w:t xml:space="preserve"> </w:t>
      </w:r>
      <w:r w:rsidR="00536A81" w:rsidRPr="00D7540E">
        <w:t xml:space="preserve">award </w:t>
      </w:r>
      <w:r w:rsidRPr="00D7540E">
        <w:t xml:space="preserve">period is </w:t>
      </w:r>
      <w:r w:rsidR="001A0926">
        <w:t xml:space="preserve">tentatively </w:t>
      </w:r>
      <w:r w:rsidRPr="00D7540E">
        <w:t xml:space="preserve">from </w:t>
      </w:r>
      <w:r w:rsidR="0047560F">
        <w:rPr>
          <w:b/>
          <w:u w:val="single"/>
        </w:rPr>
        <w:t>July</w:t>
      </w:r>
      <w:r w:rsidR="00AF4837" w:rsidRPr="008A1FEA">
        <w:rPr>
          <w:b/>
          <w:u w:val="single"/>
        </w:rPr>
        <w:t xml:space="preserve"> </w:t>
      </w:r>
      <w:r w:rsidR="00536A81" w:rsidRPr="008A1FEA">
        <w:rPr>
          <w:b/>
          <w:bCs/>
          <w:u w:val="single"/>
        </w:rPr>
        <w:t>1, 20</w:t>
      </w:r>
      <w:r w:rsidR="00AB4DE8">
        <w:rPr>
          <w:b/>
          <w:bCs/>
          <w:u w:val="single"/>
        </w:rPr>
        <w:t>20</w:t>
      </w:r>
      <w:r w:rsidR="00536A81" w:rsidRPr="008A1FEA">
        <w:rPr>
          <w:b/>
          <w:bCs/>
          <w:u w:val="single"/>
        </w:rPr>
        <w:t xml:space="preserve"> to </w:t>
      </w:r>
      <w:r w:rsidR="0047560F">
        <w:rPr>
          <w:b/>
          <w:bCs/>
          <w:u w:val="single"/>
        </w:rPr>
        <w:t>June</w:t>
      </w:r>
      <w:r w:rsidR="00536A81" w:rsidRPr="008A1FEA">
        <w:rPr>
          <w:b/>
          <w:bCs/>
          <w:u w:val="single"/>
        </w:rPr>
        <w:t xml:space="preserve"> 3</w:t>
      </w:r>
      <w:r w:rsidR="0047560F">
        <w:rPr>
          <w:b/>
          <w:bCs/>
          <w:u w:val="single"/>
        </w:rPr>
        <w:t>0</w:t>
      </w:r>
      <w:r w:rsidR="00536A81" w:rsidRPr="008A1FEA">
        <w:rPr>
          <w:b/>
          <w:bCs/>
          <w:u w:val="single"/>
        </w:rPr>
        <w:t>, 20</w:t>
      </w:r>
      <w:r w:rsidR="0047560F">
        <w:rPr>
          <w:b/>
          <w:bCs/>
          <w:u w:val="single"/>
        </w:rPr>
        <w:t>2</w:t>
      </w:r>
      <w:r w:rsidR="00AB4DE8">
        <w:rPr>
          <w:b/>
          <w:bCs/>
          <w:u w:val="single"/>
        </w:rPr>
        <w:t>1</w:t>
      </w:r>
      <w:r w:rsidRPr="008A1FEA">
        <w:rPr>
          <w:b/>
          <w:bCs/>
        </w:rPr>
        <w:t xml:space="preserve">. </w:t>
      </w:r>
      <w:r w:rsidRPr="008A1FEA">
        <w:t xml:space="preserve"> Any and all funds must be expended by the </w:t>
      </w:r>
      <w:r w:rsidRPr="00D7540E">
        <w:t>end of the contract period.</w:t>
      </w:r>
      <w:r w:rsidR="00E07EC6" w:rsidRPr="00D7540E">
        <w:t xml:space="preserve">  All awards are subject to availability of appropriated funds.  </w:t>
      </w:r>
      <w:r w:rsidR="00E07EC6" w:rsidRPr="008A1FEA">
        <w:rPr>
          <w:b/>
          <w:i/>
        </w:rPr>
        <w:t>Funding is not guaranteed.</w:t>
      </w:r>
    </w:p>
    <w:p w:rsidR="003B631F" w:rsidRDefault="003B631F" w:rsidP="009963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rPr>
      </w:pPr>
    </w:p>
    <w:p w:rsidR="00AB4DE8" w:rsidRPr="008D5EA2" w:rsidRDefault="00AB4DE8" w:rsidP="00AB4DE8">
      <w:pPr>
        <w:widowControl/>
        <w:autoSpaceDE/>
        <w:autoSpaceDN/>
        <w:adjustRightInd/>
        <w:spacing w:before="100" w:beforeAutospacing="1" w:after="100" w:afterAutospacing="1"/>
        <w:outlineLvl w:val="0"/>
        <w:rPr>
          <w:b/>
          <w:bCs/>
          <w:color w:val="FF0000"/>
          <w:kern w:val="36"/>
          <w:sz w:val="26"/>
          <w:szCs w:val="26"/>
          <w:u w:val="single"/>
        </w:rPr>
      </w:pPr>
      <w:r w:rsidRPr="008D5EA2">
        <w:rPr>
          <w:b/>
          <w:bCs/>
          <w:color w:val="FF0000"/>
          <w:kern w:val="36"/>
          <w:sz w:val="26"/>
          <w:szCs w:val="26"/>
          <w:u w:val="single"/>
        </w:rPr>
        <w:t>Certifications and Assurances by the Chief Executive of the Applicant Government</w:t>
      </w:r>
    </w:p>
    <w:p w:rsidR="00AB4DE8" w:rsidRPr="005A6F6D" w:rsidRDefault="00AB4DE8" w:rsidP="00AB4DE8">
      <w:pPr>
        <w:pStyle w:val="para75"/>
        <w:rPr>
          <w:i/>
          <w:color w:val="FF0000"/>
        </w:rPr>
      </w:pPr>
      <w:r w:rsidRPr="005A6F6D">
        <w:t>A State or unit of local government that receives an award under the FY 201</w:t>
      </w:r>
      <w:r>
        <w:t>9</w:t>
      </w:r>
      <w:r w:rsidRPr="005A6F6D">
        <w:t xml:space="preserve"> Byrne JAG Program will be required (by award condition) to obtain a properly-executed certification</w:t>
      </w:r>
      <w:r>
        <w:t>s and assurances by the Chief Executive of the Applicant Government</w:t>
      </w:r>
      <w:r w:rsidRPr="005A6F6D">
        <w:t xml:space="preserve"> </w:t>
      </w:r>
      <w:r>
        <w:t>f</w:t>
      </w:r>
      <w:r w:rsidRPr="005A6F6D">
        <w:t xml:space="preserve">rom any proposed subrecipient that is a unit of local government or a "public" institution of higher education (i.e., one that is owned, controlled, or directly funded by a State or unit of local government). The specific certification required from a unit of local government will differ from the specific certification required from a "public" institution of higher education. </w:t>
      </w:r>
      <w:r w:rsidRPr="005A6F6D">
        <w:rPr>
          <w:i/>
          <w:color w:val="FF0000"/>
        </w:rPr>
        <w:t>(this form will be provided to your agency</w:t>
      </w:r>
      <w:r>
        <w:rPr>
          <w:i/>
          <w:color w:val="FF0000"/>
        </w:rPr>
        <w:t xml:space="preserve"> and must be signed by the Mayor or Board President</w:t>
      </w:r>
      <w:r w:rsidRPr="005A6F6D">
        <w:rPr>
          <w:i/>
          <w:color w:val="FF0000"/>
        </w:rPr>
        <w:t>)</w:t>
      </w:r>
    </w:p>
    <w:p w:rsidR="001468A7" w:rsidRPr="00D7540E" w:rsidRDefault="00E0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D7540E">
        <w:rPr>
          <w:b/>
          <w:bCs/>
          <w:u w:val="single"/>
        </w:rPr>
        <w:t>ELIGIBILITY</w:t>
      </w:r>
    </w:p>
    <w:p w:rsidR="00E07EC6" w:rsidRPr="00D7540E" w:rsidRDefault="00E07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rsidR="00E07EC6" w:rsidRPr="00D7540E" w:rsidRDefault="00E07EC6" w:rsidP="009963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
          <w:color w:val="FF0000"/>
        </w:rPr>
      </w:pPr>
      <w:r w:rsidRPr="00D7540E">
        <w:rPr>
          <w:bCs/>
        </w:rPr>
        <w:t xml:space="preserve">JAG Program grants are </w:t>
      </w:r>
      <w:r w:rsidR="00812C2B" w:rsidRPr="00D7540E">
        <w:rPr>
          <w:bCs/>
        </w:rPr>
        <w:t xml:space="preserve">intended for use by the State to provide funding to eligible applicants that include offices and agencies of state government and of local government, particularly for drug court programs who are in danger of losing state funding which will include losing staff or prohibiting the </w:t>
      </w:r>
      <w:r w:rsidR="00C175BB" w:rsidRPr="00D7540E">
        <w:rPr>
          <w:bCs/>
        </w:rPr>
        <w:t>effecti</w:t>
      </w:r>
      <w:r w:rsidR="00553CDA">
        <w:rPr>
          <w:bCs/>
        </w:rPr>
        <w:t>ve operation of the drug court.</w:t>
      </w:r>
    </w:p>
    <w:p w:rsidR="00471032" w:rsidRPr="00D7540E" w:rsidRDefault="00471032" w:rsidP="00FF05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FF0000"/>
        </w:rPr>
      </w:pPr>
    </w:p>
    <w:p w:rsidR="005D4B87" w:rsidRPr="00B8229B" w:rsidRDefault="00487EA6" w:rsidP="009963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FF0000"/>
          <w:u w:val="single"/>
        </w:rPr>
      </w:pPr>
      <w:r w:rsidRPr="00B8229B">
        <w:rPr>
          <w:b/>
          <w:bCs/>
          <w:color w:val="FF0000"/>
          <w:u w:val="single"/>
        </w:rPr>
        <w:t>In order to avoid supplanting of federal funds, e</w:t>
      </w:r>
      <w:r w:rsidR="005D4B87" w:rsidRPr="00B8229B">
        <w:rPr>
          <w:b/>
          <w:bCs/>
          <w:color w:val="FF0000"/>
          <w:u w:val="single"/>
        </w:rPr>
        <w:t xml:space="preserve">ach Drug Court is required to submit a copy of their </w:t>
      </w:r>
      <w:r w:rsidR="00F93944" w:rsidRPr="00B8229B">
        <w:rPr>
          <w:b/>
          <w:bCs/>
          <w:color w:val="FF0000"/>
          <w:u w:val="single"/>
        </w:rPr>
        <w:t xml:space="preserve">award </w:t>
      </w:r>
      <w:r w:rsidR="005D4B87" w:rsidRPr="00B8229B">
        <w:rPr>
          <w:b/>
          <w:bCs/>
          <w:color w:val="FF0000"/>
          <w:u w:val="single"/>
        </w:rPr>
        <w:t>letter re</w:t>
      </w:r>
      <w:r w:rsidR="00F93944" w:rsidRPr="00B8229B">
        <w:rPr>
          <w:b/>
          <w:bCs/>
          <w:color w:val="FF0000"/>
          <w:u w:val="single"/>
        </w:rPr>
        <w:t xml:space="preserve">ceived from the State Drug Court Advisory Committee </w:t>
      </w:r>
      <w:r w:rsidRPr="00B8229B">
        <w:rPr>
          <w:b/>
          <w:bCs/>
          <w:color w:val="FF0000"/>
          <w:u w:val="single"/>
        </w:rPr>
        <w:t xml:space="preserve">and a budget breakdown of allowable cost </w:t>
      </w:r>
      <w:r w:rsidR="00F93944" w:rsidRPr="00B8229B">
        <w:rPr>
          <w:b/>
          <w:bCs/>
          <w:color w:val="FF0000"/>
          <w:u w:val="single"/>
        </w:rPr>
        <w:t xml:space="preserve">along with their applications.  </w:t>
      </w:r>
    </w:p>
    <w:p w:rsidR="005D4B87" w:rsidRPr="00D7540E" w:rsidRDefault="005D4B87" w:rsidP="00FF05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i/>
          <w:color w:val="FF0000"/>
        </w:rPr>
      </w:pPr>
    </w:p>
    <w:p w:rsidR="001468A7" w:rsidRPr="00D7540E" w:rsidRDefault="00146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rPr>
          <w:b/>
          <w:bCs/>
          <w:u w:val="single"/>
        </w:rPr>
        <w:t>Special Grant Conditions</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rsidP="00996379">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 xml:space="preserve">This is a </w:t>
      </w:r>
      <w:r w:rsidR="00F96F10" w:rsidRPr="00996379">
        <w:rPr>
          <w:u w:val="single"/>
        </w:rPr>
        <w:t>one</w:t>
      </w:r>
      <w:r w:rsidR="00536A81" w:rsidRPr="00996379">
        <w:rPr>
          <w:u w:val="single"/>
        </w:rPr>
        <w:t xml:space="preserve"> year</w:t>
      </w:r>
      <w:r w:rsidRPr="00996379">
        <w:rPr>
          <w:u w:val="single"/>
        </w:rPr>
        <w:t xml:space="preserve"> </w:t>
      </w:r>
      <w:r w:rsidRPr="00D7540E">
        <w:t xml:space="preserve">grant </w:t>
      </w:r>
      <w:r w:rsidR="00174710" w:rsidRPr="00D7540E">
        <w:t>award</w:t>
      </w:r>
      <w:r w:rsidR="00C772B6" w:rsidRPr="00D7540E">
        <w:t>,</w:t>
      </w:r>
      <w:r w:rsidRPr="00D7540E">
        <w:t xml:space="preserve"> </w:t>
      </w:r>
      <w:r w:rsidR="00D26778" w:rsidRPr="00D7540E">
        <w:t>once</w:t>
      </w:r>
      <w:r w:rsidRPr="00D7540E">
        <w:t xml:space="preserve"> funds are expended, the grant will expire.</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rsidP="00996379">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If you</w:t>
      </w:r>
      <w:r w:rsidR="00F96F10" w:rsidRPr="00D7540E">
        <w:t xml:space="preserve"> are</w:t>
      </w:r>
      <w:r w:rsidRPr="00D7540E">
        <w:t xml:space="preserve"> receiving assistance from any other federal agency, there can be no duplicate purchases from such funds.  In other words, funds cannot be used from separate agencies to make the same purchase. </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rsidP="00996379">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Expenditures incurred prior to the actual start date will not be approved.  Support</w:t>
      </w:r>
      <w:r w:rsidR="00EC0D6B">
        <w:t>ing</w:t>
      </w:r>
      <w:r w:rsidRPr="00D7540E">
        <w:t xml:space="preserve"> documentation must have valid and verifiable dates.</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sectPr w:rsidR="00682924" w:rsidRPr="00D7540E" w:rsidSect="00174710">
          <w:headerReference w:type="default" r:id="rId9"/>
          <w:footerReference w:type="even" r:id="rId10"/>
          <w:footerReference w:type="default" r:id="rId11"/>
          <w:type w:val="continuous"/>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682924" w:rsidRDefault="00996379" w:rsidP="00996379">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t>H</w:t>
      </w:r>
      <w:r w:rsidR="00682924" w:rsidRPr="00D7540E">
        <w:t>andwritten applications or applicati</w:t>
      </w:r>
      <w:r>
        <w:t>on</w:t>
      </w:r>
      <w:r w:rsidR="00EC0D6B">
        <w:t>s</w:t>
      </w:r>
      <w:r>
        <w:t xml:space="preserve"> submitted by facsimile (FAX) </w:t>
      </w:r>
      <w:r w:rsidRPr="001A0926">
        <w:rPr>
          <w:u w:val="single"/>
        </w:rPr>
        <w:t>will not be accepted.</w:t>
      </w:r>
    </w:p>
    <w:p w:rsidR="00AB4DE8" w:rsidRDefault="00AB4DE8" w:rsidP="00AB4DE8">
      <w:pPr>
        <w:widowControl/>
        <w:numPr>
          <w:ilvl w:val="0"/>
          <w:numId w:val="10"/>
        </w:numPr>
        <w:autoSpaceDE/>
        <w:autoSpaceDN/>
        <w:adjustRightInd/>
        <w:spacing w:before="100" w:beforeAutospacing="1" w:after="100" w:afterAutospacing="1"/>
      </w:pPr>
      <w:hyperlink r:id="rId12" w:tgtFrame="_blank" w:tooltip="PDF opens in a new window" w:history="1">
        <w:r w:rsidRPr="005A6F6D">
          <w:rPr>
            <w:color w:val="0000FF"/>
            <w:u w:val="single"/>
          </w:rPr>
          <w:t>FY 201</w:t>
        </w:r>
        <w:r>
          <w:rPr>
            <w:color w:val="0000FF"/>
            <w:u w:val="single"/>
          </w:rPr>
          <w:t>9</w:t>
        </w:r>
        <w:r w:rsidRPr="005A6F6D">
          <w:rPr>
            <w:color w:val="0000FF"/>
            <w:u w:val="single"/>
          </w:rPr>
          <w:t xml:space="preserve"> Byrne JAG </w:t>
        </w:r>
        <w:r>
          <w:rPr>
            <w:color w:val="0000FF"/>
            <w:u w:val="single"/>
          </w:rPr>
          <w:t>–</w:t>
        </w:r>
        <w:r w:rsidRPr="005A6F6D">
          <w:rPr>
            <w:color w:val="0000FF"/>
            <w:u w:val="single"/>
          </w:rPr>
          <w:t xml:space="preserve"> </w:t>
        </w:r>
        <w:r>
          <w:rPr>
            <w:color w:val="0000FF"/>
            <w:u w:val="single"/>
          </w:rPr>
          <w:t>Certifications</w:t>
        </w:r>
      </w:hyperlink>
      <w:r>
        <w:rPr>
          <w:color w:val="0000FF"/>
          <w:u w:val="single"/>
        </w:rPr>
        <w:t xml:space="preserve"> and Assurances by the Chief Executive of the Applicant Government</w:t>
      </w:r>
      <w:r w:rsidRPr="005A6F6D">
        <w:t> </w:t>
      </w:r>
    </w:p>
    <w:p w:rsidR="001D0586" w:rsidRPr="00D7540E" w:rsidRDefault="001D0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rPr>
          <w:b/>
          <w:bCs/>
          <w:u w:val="single"/>
        </w:rPr>
        <w:t>Non-Supplant Requirement</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Funds available under this program may not be used to supplant (replace) existing local funds.  These funds must be used to supplement the level of funds from non-federal sources that would, in the absence of these funds, be made available for programs or activities funded under a similar program.</w:t>
      </w:r>
    </w:p>
    <w:p w:rsidR="00C518EE" w:rsidRPr="00D7540E" w:rsidRDefault="00C51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rPr>
          <w:b/>
          <w:bCs/>
          <w:u w:val="single"/>
        </w:rPr>
        <w:t>Monitoring</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Each successful subgrantee will receive an on-site compliance monitoring visit</w:t>
      </w:r>
      <w:r w:rsidR="00C772B6" w:rsidRPr="00D7540E">
        <w:t xml:space="preserve"> </w:t>
      </w:r>
      <w:r w:rsidRPr="00D7540E">
        <w:t xml:space="preserve">at least once during the grant period.  Each successful subgrantee must retain records, receipts, invoices, and other documents for review during the monitoring visit.  Guidelines and/or procedures listed in the original application must be adhered to and deviations from those guidelines must have prior </w:t>
      </w:r>
      <w:r w:rsidR="00667A38">
        <w:t xml:space="preserve">written </w:t>
      </w:r>
      <w:r w:rsidRPr="00D7540E">
        <w:t xml:space="preserve">approval by the Division of Public Safety Planning. </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580BF4" w:rsidRPr="00D7540E" w:rsidRDefault="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D7540E">
        <w:rPr>
          <w:b/>
          <w:bCs/>
          <w:u w:val="single"/>
        </w:rPr>
        <w:t>Budget</w:t>
      </w:r>
    </w:p>
    <w:p w:rsidR="00580BF4" w:rsidRPr="00D7540E" w:rsidRDefault="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rsidR="00580BF4" w:rsidRPr="00D7540E" w:rsidRDefault="00580BF4"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FF0000"/>
        </w:rPr>
      </w:pPr>
      <w:r w:rsidRPr="00D7540E">
        <w:rPr>
          <w:b/>
          <w:bCs/>
          <w:color w:val="FF0000"/>
        </w:rPr>
        <w:t xml:space="preserve">The total 12-month budget allotted for the subgrantee of this RFP </w:t>
      </w:r>
      <w:r w:rsidR="00635D49" w:rsidRPr="00D7540E">
        <w:rPr>
          <w:b/>
          <w:bCs/>
          <w:color w:val="FF0000"/>
        </w:rPr>
        <w:t>will be based on</w:t>
      </w:r>
      <w:r w:rsidR="00C175BB" w:rsidRPr="00D7540E">
        <w:rPr>
          <w:b/>
          <w:bCs/>
          <w:color w:val="FF0000"/>
        </w:rPr>
        <w:t xml:space="preserve"> number of applicants.</w:t>
      </w:r>
    </w:p>
    <w:p w:rsidR="00C175BB" w:rsidRPr="00D7540E" w:rsidRDefault="00C175BB"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FF0000"/>
        </w:rPr>
      </w:pPr>
    </w:p>
    <w:p w:rsidR="00E77F1E" w:rsidRPr="005A6F6D" w:rsidRDefault="00E77F1E" w:rsidP="00E77F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5A6F6D">
        <w:rPr>
          <w:b/>
          <w:bCs/>
          <w:color w:val="FF0000"/>
        </w:rPr>
        <w:t xml:space="preserve">A twenty-five (25%) cash match is required, however, a request for match wavier with </w:t>
      </w:r>
      <w:proofErr w:type="gramStart"/>
      <w:r w:rsidRPr="005A6F6D">
        <w:rPr>
          <w:b/>
          <w:bCs/>
          <w:color w:val="FF0000"/>
        </w:rPr>
        <w:t>sufficient</w:t>
      </w:r>
      <w:proofErr w:type="gramEnd"/>
      <w:r w:rsidRPr="005A6F6D">
        <w:rPr>
          <w:b/>
          <w:bCs/>
          <w:color w:val="FF0000"/>
        </w:rPr>
        <w:t xml:space="preserve"> justification will be considered. </w:t>
      </w:r>
      <w:r>
        <w:rPr>
          <w:b/>
          <w:bCs/>
          <w:color w:val="FF0000"/>
        </w:rPr>
        <w:t xml:space="preserve"> Each agency will need a letter on letterhead stating the need for a waiver, submit city or county budget that shows a deficit, board minutes that states the city or county cannot afford the match, and documentation that shows the city or county poverty rate and unemployment rate.</w:t>
      </w:r>
    </w:p>
    <w:p w:rsidR="00E77F1E" w:rsidRDefault="00E77F1E"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rsidR="000F59FE" w:rsidRPr="00A762FE" w:rsidRDefault="000F59FE" w:rsidP="000F59F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r>
        <w:t xml:space="preserve">Organizations are required to register with the System for Award Management (SAM) using their DUNS number. Please note that applicants formerly used the Central Contractor Registration (CCR) database for this purpose. SAM is a government-wide registry for vendors doing business with the federal government which requires annual renewal. The SAM centralizes information about grant recipients and also provides a central location for grant recipients to change organizational information.  </w:t>
      </w:r>
    </w:p>
    <w:p w:rsidR="000F59FE" w:rsidRDefault="000F59FE" w:rsidP="000F59F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bCs/>
        </w:rPr>
      </w:pPr>
    </w:p>
    <w:p w:rsidR="000F59FE" w:rsidRDefault="000F59FE" w:rsidP="000F59F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bCs/>
          <w:u w:val="single"/>
        </w:rPr>
      </w:pPr>
      <w:r w:rsidRPr="000F59FE">
        <w:rPr>
          <w:b/>
          <w:bCs/>
          <w:highlight w:val="yellow"/>
        </w:rPr>
        <w:t xml:space="preserve">Please note that organizations must update or renew their SAM registration at least once a year to maintain an active status.  Please include a copy of your SAM registration verifying an active status along with your application.  To complete the SAM registration process, access the website at </w:t>
      </w:r>
      <w:r w:rsidRPr="000F59FE">
        <w:rPr>
          <w:b/>
          <w:bCs/>
          <w:color w:val="0070C0"/>
          <w:highlight w:val="yellow"/>
          <w:u w:val="single"/>
        </w:rPr>
        <w:t>www.sam.gov</w:t>
      </w:r>
      <w:r w:rsidRPr="000F59FE">
        <w:rPr>
          <w:b/>
          <w:bCs/>
          <w:highlight w:val="yellow"/>
        </w:rPr>
        <w:t>.</w:t>
      </w:r>
    </w:p>
    <w:p w:rsidR="000F59FE" w:rsidRDefault="000F59FE"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rsidR="00580BF4" w:rsidRPr="00D7540E" w:rsidRDefault="00580BF4"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rPr>
          <w:b/>
          <w:bCs/>
          <w:u w:val="single"/>
        </w:rPr>
        <w:t>Application Submission Requirements</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7540E">
        <w:t xml:space="preserve">One (1) original and one (1) copy of the application should be submitted on the official application form of the Office of Justice Programs, Division of Public Safety Planning no later than </w:t>
      </w:r>
      <w:r w:rsidR="00AB4DE8">
        <w:rPr>
          <w:b/>
          <w:u w:val="single"/>
        </w:rPr>
        <w:t>Monday</w:t>
      </w:r>
      <w:r w:rsidR="00EA7816" w:rsidRPr="00475FCA">
        <w:rPr>
          <w:b/>
          <w:u w:val="single"/>
        </w:rPr>
        <w:t xml:space="preserve">, </w:t>
      </w:r>
      <w:r w:rsidR="00AB4DE8">
        <w:rPr>
          <w:b/>
          <w:u w:val="single"/>
        </w:rPr>
        <w:t>June</w:t>
      </w:r>
      <w:r w:rsidR="005B2A26">
        <w:rPr>
          <w:b/>
          <w:u w:val="single"/>
        </w:rPr>
        <w:t xml:space="preserve"> 1</w:t>
      </w:r>
      <w:r w:rsidR="00EA7816" w:rsidRPr="00475FCA">
        <w:rPr>
          <w:b/>
          <w:u w:val="single"/>
        </w:rPr>
        <w:t>, 20</w:t>
      </w:r>
      <w:r w:rsidR="00AB4DE8">
        <w:rPr>
          <w:b/>
          <w:u w:val="single"/>
        </w:rPr>
        <w:t>20</w:t>
      </w:r>
      <w:r w:rsidR="00EA7816" w:rsidRPr="00D7540E">
        <w:rPr>
          <w:b/>
        </w:rPr>
        <w:t>.</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81EEB" w:rsidRDefault="00981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p>
    <w:p w:rsidR="00981EEB" w:rsidRDefault="00981E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pP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u w:val="single"/>
        </w:rPr>
      </w:pPr>
      <w:r w:rsidRPr="00D7540E">
        <w:t>Submit Applications to:</w:t>
      </w:r>
      <w:r w:rsidRPr="00D7540E">
        <w:tab/>
      </w:r>
      <w:r w:rsidR="00F96F10" w:rsidRPr="00D7540E">
        <w:rPr>
          <w:b/>
        </w:rPr>
        <w:t>Attn:</w:t>
      </w:r>
      <w:r w:rsidR="00F96F10" w:rsidRPr="00D7540E">
        <w:t xml:space="preserve"> </w:t>
      </w:r>
      <w:r w:rsidR="00424739">
        <w:t xml:space="preserve">  </w:t>
      </w:r>
      <w:r w:rsidR="00233850">
        <w:t>Sharon Nguyen</w:t>
      </w:r>
    </w:p>
    <w:p w:rsidR="00682924" w:rsidRPr="00D7540E"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jc w:val="both"/>
      </w:pPr>
      <w:r w:rsidRPr="00D7540E">
        <w:tab/>
      </w:r>
      <w:r w:rsidR="00682924" w:rsidRPr="00D7540E">
        <w:t>Office of Justice Programs</w:t>
      </w:r>
    </w:p>
    <w:p w:rsidR="00682924" w:rsidRPr="00D7540E"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pPr>
      <w:r w:rsidRPr="00D7540E">
        <w:tab/>
      </w:r>
      <w:r w:rsidR="00682924" w:rsidRPr="00D7540E">
        <w:t>Division of Public Safety Planning</w:t>
      </w:r>
    </w:p>
    <w:p w:rsidR="00682924" w:rsidRPr="00D7540E"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pPr>
      <w:r w:rsidRPr="00D7540E">
        <w:tab/>
      </w:r>
      <w:r w:rsidR="00580BF4" w:rsidRPr="00D7540E">
        <w:t>1025 NorthPark Drive</w:t>
      </w:r>
      <w:r w:rsidR="00580BF4" w:rsidRPr="00D7540E">
        <w:tab/>
      </w:r>
    </w:p>
    <w:p w:rsidR="00682924" w:rsidRPr="00D7540E"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pPr>
      <w:r w:rsidRPr="00D7540E">
        <w:tab/>
      </w:r>
      <w:r w:rsidR="00580BF4" w:rsidRPr="00D7540E">
        <w:t>Ridgeland, Mississippi  39157</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1D0586" w:rsidRDefault="001D0586" w:rsidP="001D0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682924" w:rsidRPr="00D7540E" w:rsidRDefault="00682924" w:rsidP="001D05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D7540E">
        <w:t>*</w:t>
      </w:r>
      <w:r w:rsidRPr="00D7540E">
        <w:rPr>
          <w:b/>
          <w:bCs/>
        </w:rPr>
        <w:t xml:space="preserve">If you have questions, </w:t>
      </w:r>
      <w:r w:rsidR="001D0586">
        <w:rPr>
          <w:b/>
          <w:bCs/>
        </w:rPr>
        <w:t>please</w:t>
      </w:r>
      <w:r w:rsidRPr="00D7540E">
        <w:rPr>
          <w:b/>
          <w:bCs/>
        </w:rPr>
        <w:t xml:space="preserve"> contact </w:t>
      </w:r>
      <w:r w:rsidR="00233850">
        <w:rPr>
          <w:b/>
          <w:bCs/>
        </w:rPr>
        <w:t>Sharon Nguyen</w:t>
      </w:r>
      <w:r w:rsidR="001D0586">
        <w:rPr>
          <w:b/>
          <w:bCs/>
        </w:rPr>
        <w:t xml:space="preserve"> at (601)</w:t>
      </w:r>
      <w:r w:rsidR="00F96F10" w:rsidRPr="00D7540E">
        <w:rPr>
          <w:b/>
          <w:bCs/>
        </w:rPr>
        <w:t xml:space="preserve"> </w:t>
      </w:r>
      <w:r w:rsidR="00580BF4" w:rsidRPr="00D7540E">
        <w:rPr>
          <w:b/>
          <w:bCs/>
        </w:rPr>
        <w:t>977-37</w:t>
      </w:r>
      <w:r w:rsidR="00233850">
        <w:rPr>
          <w:b/>
          <w:bCs/>
        </w:rPr>
        <w:t>5</w:t>
      </w:r>
      <w:r w:rsidR="00847198">
        <w:rPr>
          <w:b/>
          <w:bCs/>
        </w:rPr>
        <w:t>6</w:t>
      </w:r>
      <w:r w:rsidRPr="00D7540E">
        <w:rPr>
          <w:b/>
          <w:bCs/>
        </w:rPr>
        <w:t>.</w:t>
      </w:r>
    </w:p>
    <w:p w:rsidR="00682924" w:rsidRPr="00D7540E"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sectPr w:rsidR="00682924" w:rsidRPr="00D7540E" w:rsidSect="00174710">
      <w:type w:val="continuous"/>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7A5" w:rsidRDefault="007A77A5" w:rsidP="00682924">
      <w:r>
        <w:separator/>
      </w:r>
    </w:p>
  </w:endnote>
  <w:endnote w:type="continuationSeparator" w:id="0">
    <w:p w:rsidR="007A77A5" w:rsidRDefault="007A77A5" w:rsidP="006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AB4DE8">
      <w:rPr>
        <w:rFonts w:asciiTheme="majorHAnsi" w:eastAsiaTheme="majorEastAsia" w:hAnsiTheme="majorHAnsi" w:cstheme="majorBidi"/>
      </w:rPr>
      <w:t>9</w:t>
    </w:r>
    <w:r w:rsidR="00EA7816">
      <w:rPr>
        <w:rFonts w:asciiTheme="majorHAnsi" w:eastAsiaTheme="majorEastAsia" w:hAnsiTheme="majorHAnsi" w:cstheme="majorBidi"/>
      </w:rPr>
      <w:t>/</w:t>
    </w:r>
    <w:r w:rsidR="009F3742">
      <w:rPr>
        <w:rFonts w:asciiTheme="majorHAnsi" w:eastAsiaTheme="majorEastAsia" w:hAnsiTheme="majorHAnsi" w:cstheme="majorBidi"/>
      </w:rPr>
      <w:t xml:space="preserve">JAG </w:t>
    </w:r>
    <w:r w:rsidR="001A0926">
      <w:rPr>
        <w:rFonts w:asciiTheme="majorHAnsi" w:eastAsiaTheme="majorEastAsia" w:hAnsiTheme="majorHAnsi" w:cstheme="majorBidi"/>
      </w:rPr>
      <w:t>Request for Proposals</w:t>
    </w:r>
    <w:r w:rsidR="009F3742">
      <w:rPr>
        <w:rFonts w:asciiTheme="majorHAnsi" w:eastAsiaTheme="majorEastAsia" w:hAnsiTheme="majorHAnsi" w:cstheme="majorBidi"/>
      </w:rPr>
      <w:t>- Drug C</w:t>
    </w:r>
    <w:r w:rsidR="00EA7816">
      <w:rPr>
        <w:rFonts w:asciiTheme="majorHAnsi" w:eastAsiaTheme="majorEastAsia" w:hAnsiTheme="majorHAnsi" w:cstheme="majorBidi"/>
      </w:rPr>
      <w:t>ourt</w:t>
    </w:r>
    <w:r w:rsidR="001A0926">
      <w:rPr>
        <w:rFonts w:asciiTheme="majorHAnsi" w:eastAsiaTheme="majorEastAsia" w:hAnsiTheme="majorHAnsi" w:cstheme="majorBidi"/>
      </w:rPr>
      <w: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589A" w:rsidRPr="0073589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24803" w:rsidRDefault="0002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AB4DE8">
      <w:rPr>
        <w:rFonts w:asciiTheme="majorHAnsi" w:eastAsiaTheme="majorEastAsia" w:hAnsiTheme="majorHAnsi" w:cstheme="majorBidi"/>
      </w:rPr>
      <w:t>9</w:t>
    </w:r>
    <w:r w:rsidR="00C24B53">
      <w:rPr>
        <w:rFonts w:asciiTheme="majorHAnsi" w:eastAsiaTheme="majorEastAsia" w:hAnsiTheme="majorHAnsi" w:cstheme="majorBidi"/>
      </w:rPr>
      <w:t xml:space="preserve"> </w:t>
    </w:r>
    <w:r>
      <w:rPr>
        <w:rFonts w:asciiTheme="majorHAnsi" w:eastAsiaTheme="majorEastAsia" w:hAnsiTheme="majorHAnsi" w:cstheme="majorBidi"/>
      </w:rPr>
      <w:t>/</w:t>
    </w:r>
    <w:r w:rsidR="009F3742">
      <w:rPr>
        <w:rFonts w:asciiTheme="majorHAnsi" w:eastAsiaTheme="majorEastAsia" w:hAnsiTheme="majorHAnsi" w:cstheme="majorBidi"/>
      </w:rPr>
      <w:t xml:space="preserve">JAG </w:t>
    </w:r>
    <w:r w:rsidR="001A0926">
      <w:rPr>
        <w:rFonts w:asciiTheme="majorHAnsi" w:eastAsiaTheme="majorEastAsia" w:hAnsiTheme="majorHAnsi" w:cstheme="majorBidi"/>
      </w:rPr>
      <w:t>Request for Proposals</w:t>
    </w:r>
    <w:r w:rsidR="009F3742">
      <w:rPr>
        <w:rFonts w:asciiTheme="majorHAnsi" w:eastAsiaTheme="majorEastAsia" w:hAnsiTheme="majorHAnsi" w:cstheme="majorBidi"/>
      </w:rPr>
      <w:t>- Drug C</w:t>
    </w:r>
    <w:r w:rsidR="00EA7816">
      <w:rPr>
        <w:rFonts w:asciiTheme="majorHAnsi" w:eastAsiaTheme="majorEastAsia" w:hAnsiTheme="majorHAnsi" w:cstheme="majorBidi"/>
      </w:rPr>
      <w:t>ourt</w:t>
    </w:r>
    <w:r w:rsidR="001A0926">
      <w:rPr>
        <w:rFonts w:asciiTheme="majorHAnsi" w:eastAsiaTheme="majorEastAsia" w:hAnsiTheme="majorHAnsi" w:cstheme="majorBidi"/>
      </w:rPr>
      <w:t>s</w:t>
    </w:r>
    <w:r w:rsidR="009F3742">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589A" w:rsidRPr="0073589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24803" w:rsidRDefault="0002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7A5" w:rsidRDefault="007A77A5" w:rsidP="00682924">
      <w:r>
        <w:separator/>
      </w:r>
    </w:p>
  </w:footnote>
  <w:footnote w:type="continuationSeparator" w:id="0">
    <w:p w:rsidR="007A77A5" w:rsidRDefault="007A77A5" w:rsidP="0068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3" w:rsidRDefault="00024803">
    <w:pPr>
      <w:rPr>
        <w:rFonts w:ascii="Segoe Print" w:hAnsi="Segoe Print" w:cs="Segoe Print"/>
      </w:rPr>
    </w:pPr>
  </w:p>
  <w:p w:rsidR="00024803" w:rsidRDefault="00024803">
    <w:pPr>
      <w:rPr>
        <w:rFonts w:ascii="Segoe Print" w:hAnsi="Segoe Print" w:cs="Segoe Prin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53F"/>
    <w:multiLevelType w:val="hybridMultilevel"/>
    <w:tmpl w:val="5D644596"/>
    <w:lvl w:ilvl="0" w:tplc="30406822">
      <w:start w:val="1"/>
      <w:numFmt w:val="decimal"/>
      <w:lvlText w:val="%1."/>
      <w:lvlJc w:val="left"/>
      <w:pPr>
        <w:ind w:left="450" w:hanging="360"/>
      </w:pPr>
      <w:rPr>
        <w:rFonts w:ascii="Tahoma" w:hAnsi="Tahoma" w:cs="Tahom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72464D"/>
    <w:multiLevelType w:val="hybridMultilevel"/>
    <w:tmpl w:val="94A2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87241"/>
    <w:multiLevelType w:val="hybridMultilevel"/>
    <w:tmpl w:val="572A42B0"/>
    <w:lvl w:ilvl="0" w:tplc="3A5AE2E6">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B7515"/>
    <w:multiLevelType w:val="multilevel"/>
    <w:tmpl w:val="E57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A4DF4"/>
    <w:multiLevelType w:val="hybridMultilevel"/>
    <w:tmpl w:val="D6FC1C20"/>
    <w:lvl w:ilvl="0" w:tplc="AC386EB0">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5328C"/>
    <w:multiLevelType w:val="hybridMultilevel"/>
    <w:tmpl w:val="CAC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B21853"/>
    <w:multiLevelType w:val="hybridMultilevel"/>
    <w:tmpl w:val="9B2A20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F6B6F"/>
    <w:multiLevelType w:val="hybridMultilevel"/>
    <w:tmpl w:val="960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7094F"/>
    <w:multiLevelType w:val="hybridMultilevel"/>
    <w:tmpl w:val="AFAE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969B1"/>
    <w:multiLevelType w:val="hybridMultilevel"/>
    <w:tmpl w:val="DBD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1"/>
  </w:num>
  <w:num w:numId="6">
    <w:abstractNumId w:val="9"/>
  </w:num>
  <w:num w:numId="7">
    <w:abstractNumId w:val="7"/>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24"/>
    <w:rsid w:val="00004A94"/>
    <w:rsid w:val="00024803"/>
    <w:rsid w:val="000408DD"/>
    <w:rsid w:val="00057C4B"/>
    <w:rsid w:val="000C242C"/>
    <w:rsid w:val="000D1D02"/>
    <w:rsid w:val="000F59FE"/>
    <w:rsid w:val="001468A7"/>
    <w:rsid w:val="00174710"/>
    <w:rsid w:val="001A0926"/>
    <w:rsid w:val="001D0586"/>
    <w:rsid w:val="001F319C"/>
    <w:rsid w:val="00210BE9"/>
    <w:rsid w:val="00233850"/>
    <w:rsid w:val="0023778E"/>
    <w:rsid w:val="002636F5"/>
    <w:rsid w:val="00292BDE"/>
    <w:rsid w:val="002D7AE1"/>
    <w:rsid w:val="002F15E3"/>
    <w:rsid w:val="003002DB"/>
    <w:rsid w:val="00346B2E"/>
    <w:rsid w:val="003A223F"/>
    <w:rsid w:val="003A3D79"/>
    <w:rsid w:val="003B631F"/>
    <w:rsid w:val="003C38B0"/>
    <w:rsid w:val="003D1700"/>
    <w:rsid w:val="00424739"/>
    <w:rsid w:val="00471032"/>
    <w:rsid w:val="0047560F"/>
    <w:rsid w:val="00475D06"/>
    <w:rsid w:val="00475FCA"/>
    <w:rsid w:val="00487EA6"/>
    <w:rsid w:val="004C751E"/>
    <w:rsid w:val="004E3868"/>
    <w:rsid w:val="0052737D"/>
    <w:rsid w:val="0053569C"/>
    <w:rsid w:val="00536A81"/>
    <w:rsid w:val="00553CDA"/>
    <w:rsid w:val="00574A6B"/>
    <w:rsid w:val="00580BF4"/>
    <w:rsid w:val="005B2A26"/>
    <w:rsid w:val="005D4B87"/>
    <w:rsid w:val="005F386B"/>
    <w:rsid w:val="00635D49"/>
    <w:rsid w:val="00656C3E"/>
    <w:rsid w:val="00667A38"/>
    <w:rsid w:val="00682924"/>
    <w:rsid w:val="006E34E2"/>
    <w:rsid w:val="00723E38"/>
    <w:rsid w:val="0073589A"/>
    <w:rsid w:val="0078005C"/>
    <w:rsid w:val="00790E41"/>
    <w:rsid w:val="007A4E4E"/>
    <w:rsid w:val="007A77A5"/>
    <w:rsid w:val="007C75A1"/>
    <w:rsid w:val="007C7F8E"/>
    <w:rsid w:val="007E7718"/>
    <w:rsid w:val="00812C2B"/>
    <w:rsid w:val="00847198"/>
    <w:rsid w:val="008A1FEA"/>
    <w:rsid w:val="0092327D"/>
    <w:rsid w:val="00981EEB"/>
    <w:rsid w:val="00996379"/>
    <w:rsid w:val="009D0633"/>
    <w:rsid w:val="009F3742"/>
    <w:rsid w:val="009F4055"/>
    <w:rsid w:val="00A01B3E"/>
    <w:rsid w:val="00A10B2F"/>
    <w:rsid w:val="00A118E0"/>
    <w:rsid w:val="00A60700"/>
    <w:rsid w:val="00A762FE"/>
    <w:rsid w:val="00A76BF1"/>
    <w:rsid w:val="00A94266"/>
    <w:rsid w:val="00AA40AF"/>
    <w:rsid w:val="00AB4C03"/>
    <w:rsid w:val="00AB4DE8"/>
    <w:rsid w:val="00AC6DC7"/>
    <w:rsid w:val="00AD7F12"/>
    <w:rsid w:val="00AF2653"/>
    <w:rsid w:val="00AF4837"/>
    <w:rsid w:val="00AF7158"/>
    <w:rsid w:val="00B30451"/>
    <w:rsid w:val="00B76B56"/>
    <w:rsid w:val="00B8229B"/>
    <w:rsid w:val="00BB69B4"/>
    <w:rsid w:val="00C175BB"/>
    <w:rsid w:val="00C24B53"/>
    <w:rsid w:val="00C4438B"/>
    <w:rsid w:val="00C518EE"/>
    <w:rsid w:val="00C73F97"/>
    <w:rsid w:val="00C772B6"/>
    <w:rsid w:val="00C83DE6"/>
    <w:rsid w:val="00CF07B8"/>
    <w:rsid w:val="00D26778"/>
    <w:rsid w:val="00D45A83"/>
    <w:rsid w:val="00D7540E"/>
    <w:rsid w:val="00DB471E"/>
    <w:rsid w:val="00DF6540"/>
    <w:rsid w:val="00E03C8D"/>
    <w:rsid w:val="00E07EC6"/>
    <w:rsid w:val="00E70545"/>
    <w:rsid w:val="00E77F1E"/>
    <w:rsid w:val="00E866F8"/>
    <w:rsid w:val="00EA3414"/>
    <w:rsid w:val="00EA7816"/>
    <w:rsid w:val="00EB1A93"/>
    <w:rsid w:val="00EB3228"/>
    <w:rsid w:val="00EC0D6B"/>
    <w:rsid w:val="00EE5E14"/>
    <w:rsid w:val="00F25EB3"/>
    <w:rsid w:val="00F37E91"/>
    <w:rsid w:val="00F7585C"/>
    <w:rsid w:val="00F853B5"/>
    <w:rsid w:val="00F90A64"/>
    <w:rsid w:val="00F93944"/>
    <w:rsid w:val="00F96F10"/>
    <w:rsid w:val="00FF056A"/>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560447"/>
  <w15:docId w15:val="{E161C588-A23D-4A88-B5EA-ECC2A203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DE6"/>
    <w:pPr>
      <w:widowControl w:val="0"/>
      <w:autoSpaceDE w:val="0"/>
      <w:autoSpaceDN w:val="0"/>
      <w:adjustRightInd w:val="0"/>
    </w:pPr>
    <w:rPr>
      <w:rFonts w:ascii="Times New Roman" w:hAnsi="Times New Roman"/>
      <w:sz w:val="24"/>
      <w:szCs w:val="24"/>
    </w:rPr>
  </w:style>
  <w:style w:type="paragraph" w:styleId="Heading1">
    <w:name w:val="heading 1"/>
    <w:basedOn w:val="Normal"/>
    <w:link w:val="Heading1Char"/>
    <w:uiPriority w:val="9"/>
    <w:qFormat/>
    <w:rsid w:val="003B631F"/>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3DE6"/>
  </w:style>
  <w:style w:type="paragraph" w:styleId="BalloonText">
    <w:name w:val="Balloon Text"/>
    <w:basedOn w:val="Normal"/>
    <w:link w:val="BalloonTextChar"/>
    <w:uiPriority w:val="99"/>
    <w:semiHidden/>
    <w:unhideWhenUsed/>
    <w:rsid w:val="00BB69B4"/>
    <w:rPr>
      <w:rFonts w:ascii="Tahoma" w:hAnsi="Tahoma" w:cs="Tahoma"/>
      <w:sz w:val="16"/>
      <w:szCs w:val="16"/>
    </w:rPr>
  </w:style>
  <w:style w:type="character" w:customStyle="1" w:styleId="BalloonTextChar">
    <w:name w:val="Balloon Text Char"/>
    <w:basedOn w:val="DefaultParagraphFont"/>
    <w:link w:val="BalloonText"/>
    <w:uiPriority w:val="99"/>
    <w:semiHidden/>
    <w:rsid w:val="00BB69B4"/>
    <w:rPr>
      <w:rFonts w:ascii="Tahoma" w:hAnsi="Tahoma" w:cs="Tahoma"/>
      <w:sz w:val="16"/>
      <w:szCs w:val="16"/>
    </w:rPr>
  </w:style>
  <w:style w:type="paragraph" w:styleId="Header">
    <w:name w:val="header"/>
    <w:basedOn w:val="Normal"/>
    <w:link w:val="HeaderChar"/>
    <w:uiPriority w:val="99"/>
    <w:unhideWhenUsed/>
    <w:rsid w:val="00174710"/>
    <w:pPr>
      <w:tabs>
        <w:tab w:val="center" w:pos="4680"/>
        <w:tab w:val="right" w:pos="9360"/>
      </w:tabs>
    </w:pPr>
  </w:style>
  <w:style w:type="character" w:customStyle="1" w:styleId="HeaderChar">
    <w:name w:val="Header Char"/>
    <w:basedOn w:val="DefaultParagraphFont"/>
    <w:link w:val="Header"/>
    <w:uiPriority w:val="99"/>
    <w:rsid w:val="00174710"/>
    <w:rPr>
      <w:rFonts w:ascii="Times New Roman" w:hAnsi="Times New Roman"/>
      <w:sz w:val="24"/>
      <w:szCs w:val="24"/>
    </w:rPr>
  </w:style>
  <w:style w:type="paragraph" w:styleId="Footer">
    <w:name w:val="footer"/>
    <w:basedOn w:val="Normal"/>
    <w:link w:val="FooterChar"/>
    <w:uiPriority w:val="99"/>
    <w:unhideWhenUsed/>
    <w:rsid w:val="00174710"/>
    <w:pPr>
      <w:tabs>
        <w:tab w:val="center" w:pos="4680"/>
        <w:tab w:val="right" w:pos="9360"/>
      </w:tabs>
    </w:pPr>
  </w:style>
  <w:style w:type="character" w:customStyle="1" w:styleId="FooterChar">
    <w:name w:val="Footer Char"/>
    <w:basedOn w:val="DefaultParagraphFont"/>
    <w:link w:val="Footer"/>
    <w:uiPriority w:val="99"/>
    <w:rsid w:val="00174710"/>
    <w:rPr>
      <w:rFonts w:ascii="Times New Roman" w:hAnsi="Times New Roman"/>
      <w:sz w:val="24"/>
      <w:szCs w:val="24"/>
    </w:rPr>
  </w:style>
  <w:style w:type="paragraph" w:styleId="ListParagraph">
    <w:name w:val="List Paragraph"/>
    <w:basedOn w:val="Normal"/>
    <w:uiPriority w:val="34"/>
    <w:qFormat/>
    <w:rsid w:val="00580BF4"/>
    <w:pPr>
      <w:ind w:left="720"/>
      <w:contextualSpacing/>
    </w:pPr>
  </w:style>
  <w:style w:type="character" w:customStyle="1" w:styleId="Heading1Char">
    <w:name w:val="Heading 1 Char"/>
    <w:basedOn w:val="DefaultParagraphFont"/>
    <w:link w:val="Heading1"/>
    <w:uiPriority w:val="9"/>
    <w:rsid w:val="003B631F"/>
    <w:rPr>
      <w:rFonts w:ascii="Times New Roman" w:hAnsi="Times New Roman"/>
      <w:b/>
      <w:bCs/>
      <w:kern w:val="36"/>
      <w:sz w:val="48"/>
      <w:szCs w:val="48"/>
    </w:rPr>
  </w:style>
  <w:style w:type="paragraph" w:customStyle="1" w:styleId="para75">
    <w:name w:val="para75"/>
    <w:basedOn w:val="Normal"/>
    <w:rsid w:val="003B631F"/>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3B631F"/>
    <w:rPr>
      <w:color w:val="0000FF"/>
      <w:u w:val="single"/>
    </w:rPr>
  </w:style>
  <w:style w:type="character" w:customStyle="1" w:styleId="pdfsize">
    <w:name w:val="pdfsize"/>
    <w:basedOn w:val="DefaultParagraphFont"/>
    <w:rsid w:val="003B631F"/>
  </w:style>
  <w:style w:type="character" w:styleId="UnresolvedMention">
    <w:name w:val="Unresolved Mention"/>
    <w:basedOn w:val="DefaultParagraphFont"/>
    <w:uiPriority w:val="99"/>
    <w:semiHidden/>
    <w:unhideWhenUsed/>
    <w:rsid w:val="00475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24300">
      <w:bodyDiv w:val="1"/>
      <w:marLeft w:val="0"/>
      <w:marRight w:val="0"/>
      <w:marTop w:val="0"/>
      <w:marBottom w:val="0"/>
      <w:divBdr>
        <w:top w:val="none" w:sz="0" w:space="0" w:color="auto"/>
        <w:left w:val="none" w:sz="0" w:space="0" w:color="auto"/>
        <w:bottom w:val="none" w:sz="0" w:space="0" w:color="auto"/>
        <w:right w:val="none" w:sz="0" w:space="0" w:color="auto"/>
      </w:divBdr>
    </w:div>
    <w:div w:id="1057627018">
      <w:bodyDiv w:val="1"/>
      <w:marLeft w:val="0"/>
      <w:marRight w:val="0"/>
      <w:marTop w:val="0"/>
      <w:marBottom w:val="0"/>
      <w:divBdr>
        <w:top w:val="none" w:sz="0" w:space="0" w:color="auto"/>
        <w:left w:val="none" w:sz="0" w:space="0" w:color="auto"/>
        <w:bottom w:val="none" w:sz="0" w:space="0" w:color="auto"/>
        <w:right w:val="none" w:sz="0" w:space="0" w:color="auto"/>
      </w:divBdr>
    </w:div>
    <w:div w:id="19107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p.gov/funding/Explore/pdf/FY17-ByrneJAGSection1373Ce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jp.gov/funding/Explore/pdf/FY17-ByrneJAGSection1373Ce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F986-F1AA-4A68-B1FA-8FB224CF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11264</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Certifications and Assurances by the Chief Executive of the Applicant Government</vt:lpstr>
    </vt:vector>
  </TitlesOfParts>
  <Company>Microsoft</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SThomas</dc:creator>
  <cp:lastModifiedBy>Sharon Nguyen</cp:lastModifiedBy>
  <cp:revision>2</cp:revision>
  <cp:lastPrinted>2014-09-30T14:55:00Z</cp:lastPrinted>
  <dcterms:created xsi:type="dcterms:W3CDTF">2020-04-23T16:38:00Z</dcterms:created>
  <dcterms:modified xsi:type="dcterms:W3CDTF">2020-04-23T16:38:00Z</dcterms:modified>
</cp:coreProperties>
</file>